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B0" w:rsidRDefault="009741B0" w:rsidP="002F6205"/>
    <w:p w:rsidR="006B7B08" w:rsidRDefault="006B7B08" w:rsidP="00896281">
      <w:pPr>
        <w:jc w:val="center"/>
      </w:pPr>
    </w:p>
    <w:p w:rsidR="00896281" w:rsidRDefault="006B7B08" w:rsidP="002F6205">
      <w:pPr>
        <w:jc w:val="center"/>
      </w:pPr>
      <w:r w:rsidRPr="006B7B08">
        <w:rPr>
          <w:noProof/>
          <w:lang w:eastAsia="it-IT"/>
        </w:rPr>
        <w:drawing>
          <wp:inline distT="0" distB="0" distL="0" distR="0">
            <wp:extent cx="4943199" cy="3267075"/>
            <wp:effectExtent l="0" t="0" r="0" b="0"/>
            <wp:docPr id="2" name="Immagine 2"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4852" cy="3268168"/>
                    </a:xfrm>
                    <a:prstGeom prst="rect">
                      <a:avLst/>
                    </a:prstGeom>
                    <a:noFill/>
                    <a:ln>
                      <a:noFill/>
                    </a:ln>
                  </pic:spPr>
                </pic:pic>
              </a:graphicData>
            </a:graphic>
          </wp:inline>
        </w:drawing>
      </w:r>
    </w:p>
    <w:p w:rsidR="00896281" w:rsidRDefault="00896281"/>
    <w:p w:rsidR="002F6205" w:rsidRDefault="002F6205" w:rsidP="00896281">
      <w:pPr>
        <w:jc w:val="center"/>
        <w:rPr>
          <w:b/>
          <w:color w:val="0070C0"/>
          <w:sz w:val="40"/>
          <w:szCs w:val="40"/>
        </w:rPr>
      </w:pPr>
    </w:p>
    <w:p w:rsidR="00896281" w:rsidRPr="009741B0" w:rsidRDefault="00896281" w:rsidP="00896281">
      <w:pPr>
        <w:jc w:val="center"/>
        <w:rPr>
          <w:color w:val="0070C0"/>
          <w:sz w:val="40"/>
          <w:szCs w:val="40"/>
        </w:rPr>
      </w:pPr>
      <w:r w:rsidRPr="009741B0">
        <w:rPr>
          <w:b/>
          <w:color w:val="0070C0"/>
          <w:sz w:val="40"/>
          <w:szCs w:val="40"/>
        </w:rPr>
        <w:t>Anticorruzione e trasp</w:t>
      </w:r>
      <w:r w:rsidR="009741B0" w:rsidRPr="009741B0">
        <w:rPr>
          <w:b/>
          <w:color w:val="0070C0"/>
          <w:sz w:val="40"/>
          <w:szCs w:val="40"/>
        </w:rPr>
        <w:t>arenza: attività svolta nel 2021</w:t>
      </w:r>
    </w:p>
    <w:p w:rsidR="00896281" w:rsidRPr="009741B0" w:rsidRDefault="00896281" w:rsidP="00896281">
      <w:pPr>
        <w:rPr>
          <w:color w:val="0070C0"/>
          <w:sz w:val="32"/>
          <w:szCs w:val="32"/>
        </w:rPr>
      </w:pPr>
    </w:p>
    <w:p w:rsidR="00896281" w:rsidRPr="009741B0" w:rsidRDefault="00896281" w:rsidP="00896281">
      <w:pPr>
        <w:rPr>
          <w:color w:val="0070C0"/>
          <w:sz w:val="32"/>
          <w:szCs w:val="32"/>
        </w:rPr>
      </w:pPr>
    </w:p>
    <w:p w:rsidR="00896281" w:rsidRPr="009741B0" w:rsidRDefault="00896281" w:rsidP="00896281">
      <w:pPr>
        <w:rPr>
          <w:color w:val="0070C0"/>
          <w:sz w:val="32"/>
          <w:szCs w:val="32"/>
        </w:rPr>
      </w:pPr>
      <w:r w:rsidRPr="009741B0">
        <w:rPr>
          <w:color w:val="0070C0"/>
          <w:sz w:val="32"/>
          <w:szCs w:val="32"/>
        </w:rPr>
        <w:t xml:space="preserve">Relazione a cura del </w:t>
      </w:r>
    </w:p>
    <w:p w:rsidR="00896281" w:rsidRDefault="00896281" w:rsidP="00896281">
      <w:pPr>
        <w:rPr>
          <w:color w:val="0070C0"/>
          <w:sz w:val="32"/>
          <w:szCs w:val="32"/>
        </w:rPr>
      </w:pPr>
      <w:r w:rsidRPr="009741B0">
        <w:rPr>
          <w:color w:val="0070C0"/>
          <w:sz w:val="32"/>
          <w:szCs w:val="32"/>
        </w:rPr>
        <w:t>Responsabile per la prevenzione della corruzione e della trasparenza</w:t>
      </w:r>
    </w:p>
    <w:p w:rsidR="00186427" w:rsidRPr="009741B0" w:rsidRDefault="00186427" w:rsidP="00896281">
      <w:pPr>
        <w:rPr>
          <w:color w:val="0070C0"/>
          <w:sz w:val="32"/>
          <w:szCs w:val="32"/>
        </w:rPr>
      </w:pPr>
      <w:r>
        <w:rPr>
          <w:color w:val="0070C0"/>
          <w:sz w:val="32"/>
          <w:szCs w:val="32"/>
        </w:rPr>
        <w:t xml:space="preserve">Dott. Emanuele </w:t>
      </w:r>
      <w:proofErr w:type="spellStart"/>
      <w:r>
        <w:rPr>
          <w:color w:val="0070C0"/>
          <w:sz w:val="32"/>
          <w:szCs w:val="32"/>
        </w:rPr>
        <w:t>Fidora</w:t>
      </w:r>
      <w:proofErr w:type="spellEnd"/>
    </w:p>
    <w:p w:rsidR="00896281" w:rsidRDefault="00896281" w:rsidP="00896281">
      <w:pPr>
        <w:rPr>
          <w:color w:val="C00000"/>
          <w:sz w:val="32"/>
          <w:szCs w:val="32"/>
        </w:rPr>
      </w:pPr>
    </w:p>
    <w:p w:rsidR="00896281" w:rsidRDefault="00896281" w:rsidP="00896281">
      <w:pPr>
        <w:rPr>
          <w:color w:val="C00000"/>
        </w:rPr>
      </w:pPr>
    </w:p>
    <w:p w:rsidR="00804459" w:rsidRDefault="00804459" w:rsidP="00896281">
      <w:pPr>
        <w:rPr>
          <w:color w:val="C00000"/>
        </w:rPr>
      </w:pPr>
    </w:p>
    <w:p w:rsidR="00896281" w:rsidRPr="009741B0" w:rsidRDefault="009741B0" w:rsidP="00804459">
      <w:pPr>
        <w:spacing w:after="0"/>
        <w:jc w:val="center"/>
        <w:rPr>
          <w:b/>
          <w:color w:val="0070C0"/>
          <w:sz w:val="28"/>
          <w:szCs w:val="28"/>
        </w:rPr>
      </w:pPr>
      <w:r>
        <w:rPr>
          <w:b/>
          <w:color w:val="0070C0"/>
          <w:sz w:val="28"/>
          <w:szCs w:val="28"/>
        </w:rPr>
        <w:lastRenderedPageBreak/>
        <w:t>Attività svolta nel 2021</w:t>
      </w:r>
    </w:p>
    <w:p w:rsidR="00804459" w:rsidRPr="00896281" w:rsidRDefault="00804459" w:rsidP="007B05FE">
      <w:pPr>
        <w:spacing w:after="0" w:line="240" w:lineRule="auto"/>
        <w:jc w:val="center"/>
        <w:rPr>
          <w:b/>
          <w:color w:val="C00000"/>
        </w:rPr>
      </w:pPr>
    </w:p>
    <w:p w:rsidR="00896281" w:rsidRPr="00896281" w:rsidRDefault="00896281" w:rsidP="00804459">
      <w:pPr>
        <w:spacing w:after="0"/>
        <w:jc w:val="both"/>
        <w:rPr>
          <w:color w:val="000000" w:themeColor="text1"/>
        </w:rPr>
      </w:pPr>
      <w:r w:rsidRPr="00896281">
        <w:rPr>
          <w:color w:val="000000" w:themeColor="text1"/>
        </w:rPr>
        <w:t xml:space="preserve">L’art. 1, comma 10, della legge n. 190/2012 stabilisce che il Responsabile per la prevenzione della corruzione (RPC) verifichi l’efficace attuazione e l’idoneità del Piano triennale di prevenzione della corruzione (PTPC), mentre l’art. 43, comma 1, del d.lgs. n. 33/2013 dispone che egli controlli l’adempimento da parte dell’Amministrazione degli obblighi di pubblicazione. </w:t>
      </w:r>
    </w:p>
    <w:p w:rsidR="00896281" w:rsidRPr="00896281" w:rsidRDefault="00896281" w:rsidP="00804459">
      <w:pPr>
        <w:spacing w:after="0"/>
        <w:jc w:val="both"/>
        <w:rPr>
          <w:color w:val="000000" w:themeColor="text1"/>
        </w:rPr>
      </w:pPr>
      <w:r w:rsidRPr="00896281">
        <w:rPr>
          <w:color w:val="000000" w:themeColor="text1"/>
        </w:rPr>
        <w:t xml:space="preserve">La presente relazione, pertanto, in una prospettiva di </w:t>
      </w:r>
      <w:proofErr w:type="spellStart"/>
      <w:r w:rsidRPr="00896281">
        <w:rPr>
          <w:color w:val="000000" w:themeColor="text1"/>
        </w:rPr>
        <w:t>accountability</w:t>
      </w:r>
      <w:proofErr w:type="spellEnd"/>
      <w:r w:rsidRPr="00896281">
        <w:rPr>
          <w:color w:val="000000" w:themeColor="text1"/>
        </w:rPr>
        <w:t xml:space="preserve">, illustra a tutta la Comunità Accademica ed agli stakeholder di riferimento, interni ed esterni, le considerazioni di carattere generale sullo stato di attuazione della normativa in materia di trasparenza e di prevenzione della corruzione da parte dell’Università di Siena. </w:t>
      </w:r>
    </w:p>
    <w:p w:rsidR="00896281" w:rsidRDefault="00896281" w:rsidP="00804459">
      <w:pPr>
        <w:spacing w:after="0"/>
        <w:jc w:val="both"/>
        <w:rPr>
          <w:color w:val="000000" w:themeColor="text1"/>
        </w:rPr>
      </w:pPr>
      <w:r w:rsidRPr="00896281">
        <w:rPr>
          <w:color w:val="000000" w:themeColor="text1"/>
        </w:rPr>
        <w:t>Le presenti considerazioni si integrano con la annuale relazione</w:t>
      </w:r>
      <w:r w:rsidRPr="00896281">
        <w:rPr>
          <w:color w:val="000000" w:themeColor="text1"/>
          <w:vertAlign w:val="superscript"/>
        </w:rPr>
        <w:footnoteReference w:id="1"/>
      </w:r>
      <w:r w:rsidRPr="00896281">
        <w:rPr>
          <w:color w:val="000000" w:themeColor="text1"/>
        </w:rPr>
        <w:t xml:space="preserve"> redatta dal RPCT, compilando l’apposito schema predisposto da </w:t>
      </w:r>
      <w:proofErr w:type="gramStart"/>
      <w:r w:rsidRPr="00896281">
        <w:rPr>
          <w:color w:val="000000" w:themeColor="text1"/>
        </w:rPr>
        <w:t>A.N.AC.,</w:t>
      </w:r>
      <w:proofErr w:type="gramEnd"/>
      <w:r w:rsidRPr="00896281">
        <w:rPr>
          <w:color w:val="000000" w:themeColor="text1"/>
        </w:rPr>
        <w:t xml:space="preserve"> e pubblicata nella sezione amministrazione trasparente</w:t>
      </w:r>
      <w:r w:rsidRPr="00896281">
        <w:rPr>
          <w:color w:val="000000" w:themeColor="text1"/>
          <w:vertAlign w:val="superscript"/>
        </w:rPr>
        <w:footnoteReference w:id="2"/>
      </w:r>
      <w:r w:rsidRPr="00896281">
        <w:rPr>
          <w:color w:val="000000" w:themeColor="text1"/>
        </w:rPr>
        <w:t>.</w:t>
      </w:r>
    </w:p>
    <w:p w:rsidR="00804459" w:rsidRPr="00896281" w:rsidRDefault="00804459" w:rsidP="00804459">
      <w:pPr>
        <w:spacing w:after="0"/>
        <w:jc w:val="both"/>
        <w:rPr>
          <w:color w:val="000000" w:themeColor="text1"/>
        </w:rPr>
      </w:pPr>
    </w:p>
    <w:p w:rsidR="00896281" w:rsidRPr="00474ECF" w:rsidRDefault="00896281" w:rsidP="00804459">
      <w:pPr>
        <w:spacing w:after="0"/>
        <w:rPr>
          <w:b/>
          <w:bCs/>
          <w:iCs/>
          <w:color w:val="0070C0"/>
        </w:rPr>
      </w:pPr>
      <w:r w:rsidRPr="00474ECF">
        <w:rPr>
          <w:b/>
          <w:bCs/>
          <w:iCs/>
          <w:color w:val="0070C0"/>
        </w:rPr>
        <w:t>• Gestione del rischio</w:t>
      </w:r>
    </w:p>
    <w:p w:rsidR="00FE0ED0" w:rsidRPr="00FE0ED0" w:rsidRDefault="009E7342" w:rsidP="009E7342">
      <w:pPr>
        <w:spacing w:after="0"/>
        <w:jc w:val="both"/>
        <w:rPr>
          <w:color w:val="000000" w:themeColor="text1"/>
        </w:rPr>
      </w:pPr>
      <w:r>
        <w:rPr>
          <w:color w:val="000000" w:themeColor="text1"/>
        </w:rPr>
        <w:t xml:space="preserve">▪ </w:t>
      </w:r>
      <w:r w:rsidR="00896281" w:rsidRPr="00FE0ED0">
        <w:rPr>
          <w:color w:val="000000" w:themeColor="text1"/>
        </w:rPr>
        <w:t xml:space="preserve">L’Università ha adottato, con delibera del Consiglio di Amministrazione </w:t>
      </w:r>
      <w:r w:rsidR="00FE0ED0" w:rsidRPr="00FE0ED0">
        <w:rPr>
          <w:color w:val="000000" w:themeColor="text1"/>
        </w:rPr>
        <w:t xml:space="preserve">n. </w:t>
      </w:r>
      <w:r w:rsidR="000D105B">
        <w:rPr>
          <w:color w:val="000000" w:themeColor="text1"/>
        </w:rPr>
        <w:t>67/2021</w:t>
      </w:r>
      <w:r w:rsidR="00FE0ED0" w:rsidRPr="00FE0ED0">
        <w:rPr>
          <w:color w:val="000000" w:themeColor="text1"/>
        </w:rPr>
        <w:t>,</w:t>
      </w:r>
      <w:r w:rsidR="00896281" w:rsidRPr="00FE0ED0">
        <w:rPr>
          <w:color w:val="000000" w:themeColor="text1"/>
        </w:rPr>
        <w:t xml:space="preserve"> il Piano triennale di p</w:t>
      </w:r>
      <w:r w:rsidR="000D105B">
        <w:rPr>
          <w:color w:val="000000" w:themeColor="text1"/>
        </w:rPr>
        <w:t>revenzione della corruzione 2021-2023</w:t>
      </w:r>
      <w:r w:rsidR="00FE0ED0" w:rsidRPr="00FE0ED0">
        <w:rPr>
          <w:color w:val="000000" w:themeColor="text1"/>
        </w:rPr>
        <w:t>. Il Piano è stato pubblicato nella sezione web amministrazione trasparente.</w:t>
      </w:r>
      <w:r w:rsidR="00896281" w:rsidRPr="00FE0ED0">
        <w:rPr>
          <w:color w:val="000000" w:themeColor="text1"/>
        </w:rPr>
        <w:t xml:space="preserve"> </w:t>
      </w:r>
    </w:p>
    <w:p w:rsidR="00FE0ED0" w:rsidRPr="00FE0ED0" w:rsidRDefault="009E7342" w:rsidP="009E7342">
      <w:pPr>
        <w:spacing w:after="0"/>
        <w:jc w:val="both"/>
        <w:rPr>
          <w:color w:val="000000" w:themeColor="text1"/>
        </w:rPr>
      </w:pPr>
      <w:r>
        <w:rPr>
          <w:color w:val="000000" w:themeColor="text1"/>
        </w:rPr>
        <w:t>▪</w:t>
      </w:r>
      <w:r w:rsidR="00F93DFB">
        <w:rPr>
          <w:color w:val="000000" w:themeColor="text1"/>
        </w:rPr>
        <w:t xml:space="preserve"> </w:t>
      </w:r>
      <w:r w:rsidR="00896281" w:rsidRPr="00FE0ED0">
        <w:rPr>
          <w:color w:val="000000" w:themeColor="text1"/>
        </w:rPr>
        <w:t xml:space="preserve">Al fine di facilitare le azioni a sostegno di una sempre maggiore trasparenza e attenzione al contenimento di possibili eventi di </w:t>
      </w:r>
      <w:r w:rsidR="00896281" w:rsidRPr="00FE0ED0">
        <w:rPr>
          <w:i/>
          <w:color w:val="000000" w:themeColor="text1"/>
        </w:rPr>
        <w:t xml:space="preserve">mala </w:t>
      </w:r>
      <w:proofErr w:type="spellStart"/>
      <w:r w:rsidR="00896281" w:rsidRPr="00FE0ED0">
        <w:rPr>
          <w:i/>
          <w:color w:val="000000" w:themeColor="text1"/>
        </w:rPr>
        <w:t>gestio</w:t>
      </w:r>
      <w:proofErr w:type="spellEnd"/>
      <w:r w:rsidR="00896281" w:rsidRPr="00FE0ED0">
        <w:rPr>
          <w:i/>
          <w:color w:val="000000" w:themeColor="text1"/>
        </w:rPr>
        <w:t>,</w:t>
      </w:r>
      <w:r w:rsidR="00896281" w:rsidRPr="00FE0ED0">
        <w:rPr>
          <w:color w:val="000000" w:themeColor="text1"/>
        </w:rPr>
        <w:t xml:space="preserve"> intesi nel senso ampio che tale significato assume nel Piano anticorruzione, è stata costante nel corso di tutto l’anno la collaborazione del RPCT con i Referenti della Rete TAC. </w:t>
      </w:r>
    </w:p>
    <w:p w:rsidR="00A921D9" w:rsidRDefault="009E7342" w:rsidP="009E7342">
      <w:pPr>
        <w:spacing w:after="0"/>
        <w:jc w:val="both"/>
        <w:rPr>
          <w:color w:val="000000" w:themeColor="text1"/>
        </w:rPr>
      </w:pPr>
      <w:r>
        <w:rPr>
          <w:color w:val="000000" w:themeColor="text1"/>
        </w:rPr>
        <w:t>▪</w:t>
      </w:r>
      <w:r w:rsidR="00F93DFB">
        <w:rPr>
          <w:color w:val="000000" w:themeColor="text1"/>
        </w:rPr>
        <w:t xml:space="preserve"> </w:t>
      </w:r>
      <w:r w:rsidR="00A921D9">
        <w:rPr>
          <w:color w:val="000000" w:themeColor="text1"/>
        </w:rPr>
        <w:t>I</w:t>
      </w:r>
      <w:r w:rsidR="00A921D9" w:rsidRPr="000918CE">
        <w:rPr>
          <w:color w:val="000000" w:themeColor="text1"/>
        </w:rPr>
        <w:t xml:space="preserve">l Gruppo di lavoro “piani triennali ex legge 190/2012 e d.lgs. 33/2013” </w:t>
      </w:r>
      <w:r w:rsidR="00F93DFB">
        <w:rPr>
          <w:color w:val="000000" w:themeColor="text1"/>
        </w:rPr>
        <w:t>si è adoperato per favorire</w:t>
      </w:r>
      <w:r w:rsidR="00A921D9" w:rsidRPr="000918CE">
        <w:rPr>
          <w:color w:val="000000" w:themeColor="text1"/>
        </w:rPr>
        <w:t xml:space="preserve"> le attività di moni</w:t>
      </w:r>
      <w:r w:rsidR="00F93DFB">
        <w:rPr>
          <w:color w:val="000000" w:themeColor="text1"/>
        </w:rPr>
        <w:t>toraggio supportando gli uffici attraverso un costante servizio di help desk.</w:t>
      </w:r>
    </w:p>
    <w:p w:rsidR="000918CE" w:rsidRPr="000918CE" w:rsidRDefault="009E7342" w:rsidP="009E7342">
      <w:pPr>
        <w:spacing w:after="0"/>
        <w:jc w:val="both"/>
        <w:rPr>
          <w:color w:val="000000" w:themeColor="text1"/>
        </w:rPr>
      </w:pPr>
      <w:r>
        <w:rPr>
          <w:color w:val="000000" w:themeColor="text1"/>
        </w:rPr>
        <w:t>▪</w:t>
      </w:r>
      <w:r w:rsidR="00F93DFB">
        <w:rPr>
          <w:color w:val="000000" w:themeColor="text1"/>
        </w:rPr>
        <w:t xml:space="preserve"> </w:t>
      </w:r>
      <w:r w:rsidR="00896281" w:rsidRPr="000918CE">
        <w:rPr>
          <w:color w:val="000000" w:themeColor="text1"/>
        </w:rPr>
        <w:t>Con il coordinamento del RPCT è stato dato ampio spazio alla formazione in ambito anticorruzione e tr</w:t>
      </w:r>
      <w:r w:rsidR="000D105B">
        <w:rPr>
          <w:color w:val="000000" w:themeColor="text1"/>
        </w:rPr>
        <w:t>asparenza che nel corso del 2021</w:t>
      </w:r>
      <w:r w:rsidR="00896281" w:rsidRPr="000918CE">
        <w:rPr>
          <w:color w:val="000000" w:themeColor="text1"/>
        </w:rPr>
        <w:t xml:space="preserve"> ha interessato </w:t>
      </w:r>
      <w:r w:rsidR="00EA003F" w:rsidRPr="00EA003F">
        <w:rPr>
          <w:color w:val="000000" w:themeColor="text1"/>
        </w:rPr>
        <w:t>207</w:t>
      </w:r>
      <w:r w:rsidR="00FE0ED0" w:rsidRPr="00EA003F">
        <w:rPr>
          <w:color w:val="000000" w:themeColor="text1"/>
        </w:rPr>
        <w:t xml:space="preserve"> </w:t>
      </w:r>
      <w:r w:rsidR="00896281" w:rsidRPr="00EA003F">
        <w:rPr>
          <w:color w:val="000000" w:themeColor="text1"/>
        </w:rPr>
        <w:t>persone.</w:t>
      </w:r>
    </w:p>
    <w:p w:rsidR="00896281" w:rsidRDefault="009E7342" w:rsidP="009E7342">
      <w:pPr>
        <w:spacing w:after="0"/>
        <w:jc w:val="both"/>
        <w:rPr>
          <w:color w:val="000000" w:themeColor="text1"/>
        </w:rPr>
      </w:pPr>
      <w:r>
        <w:rPr>
          <w:color w:val="000000" w:themeColor="text1"/>
        </w:rPr>
        <w:t xml:space="preserve">▪ </w:t>
      </w:r>
      <w:r w:rsidR="00896281" w:rsidRPr="000918CE">
        <w:rPr>
          <w:color w:val="000000" w:themeColor="text1"/>
        </w:rPr>
        <w:t>Attenzione è stata posta alle azioni per la protezione dei dati personali attraverso un</w:t>
      </w:r>
      <w:r w:rsidR="000918CE" w:rsidRPr="000918CE">
        <w:rPr>
          <w:color w:val="000000" w:themeColor="text1"/>
        </w:rPr>
        <w:t>a fattiva collaborazione col DPO</w:t>
      </w:r>
      <w:r w:rsidR="00896281" w:rsidRPr="000918CE">
        <w:rPr>
          <w:color w:val="000000" w:themeColor="text1"/>
        </w:rPr>
        <w:t xml:space="preserve"> di Ateneo.</w:t>
      </w:r>
    </w:p>
    <w:p w:rsidR="00C75EC0" w:rsidRPr="004E6531" w:rsidRDefault="009E7342" w:rsidP="00E17AFE">
      <w:pPr>
        <w:spacing w:after="0"/>
        <w:jc w:val="both"/>
        <w:rPr>
          <w:color w:val="0070C0"/>
        </w:rPr>
      </w:pPr>
      <w:r>
        <w:rPr>
          <w:color w:val="000000" w:themeColor="text1"/>
        </w:rPr>
        <w:t xml:space="preserve">▪ </w:t>
      </w:r>
      <w:r w:rsidR="00896281" w:rsidRPr="004E6531">
        <w:t>Sono proseguite le attività per una maggiore trasparenza</w:t>
      </w:r>
      <w:r w:rsidR="00F93DFB" w:rsidRPr="004E6531">
        <w:t>, attraverso la dematerializzazione dell’inte</w:t>
      </w:r>
      <w:r w:rsidR="00C75EC0" w:rsidRPr="004E6531">
        <w:t>ro ciclo passivo degli acquisti (modulo acquisti della piattaforma U-</w:t>
      </w:r>
      <w:proofErr w:type="spellStart"/>
      <w:r w:rsidR="00C75EC0" w:rsidRPr="004E6531">
        <w:t>Buy</w:t>
      </w:r>
      <w:proofErr w:type="spellEnd"/>
      <w:r w:rsidR="00C75EC0" w:rsidRPr="004E6531">
        <w:t>)</w:t>
      </w:r>
      <w:r w:rsidR="004E6531" w:rsidRPr="004E6531">
        <w:t xml:space="preserve">; </w:t>
      </w:r>
      <w:r w:rsidR="00C75EC0" w:rsidRPr="004E6531">
        <w:t xml:space="preserve">così come quelle per il miglioramento del ciclo attivo attraverso </w:t>
      </w:r>
      <w:r w:rsidR="004E6531" w:rsidRPr="004E6531">
        <w:t xml:space="preserve">l’adozione di procedure standardizzate per tutte le strutture dell’Ateneo ed </w:t>
      </w:r>
      <w:r w:rsidR="00C75EC0" w:rsidRPr="004E6531">
        <w:t>un forte e costante presidio del credi</w:t>
      </w:r>
      <w:r w:rsidR="004E6531" w:rsidRPr="004E6531">
        <w:t>to e monitoraggio della situazione creditoria (U-GOV contabilità)</w:t>
      </w:r>
      <w:r w:rsidR="004E6531">
        <w:t>.</w:t>
      </w:r>
    </w:p>
    <w:p w:rsidR="00896281" w:rsidRDefault="00896281" w:rsidP="00804459">
      <w:pPr>
        <w:spacing w:after="0"/>
        <w:rPr>
          <w:color w:val="C00000"/>
        </w:rPr>
      </w:pPr>
    </w:p>
    <w:p w:rsidR="00896281" w:rsidRPr="00474ECF" w:rsidRDefault="00896281" w:rsidP="00804459">
      <w:pPr>
        <w:spacing w:after="0"/>
        <w:rPr>
          <w:b/>
          <w:color w:val="0070C0"/>
        </w:rPr>
      </w:pPr>
      <w:r w:rsidRPr="00474ECF">
        <w:rPr>
          <w:b/>
          <w:color w:val="0070C0"/>
        </w:rPr>
        <w:t>• Monitoraggi</w:t>
      </w:r>
    </w:p>
    <w:p w:rsidR="00896281" w:rsidRDefault="00896281" w:rsidP="0098172D">
      <w:pPr>
        <w:spacing w:after="0"/>
        <w:jc w:val="both"/>
        <w:rPr>
          <w:color w:val="000000" w:themeColor="text1"/>
        </w:rPr>
      </w:pPr>
      <w:r w:rsidRPr="00AA32A9">
        <w:rPr>
          <w:color w:val="000000" w:themeColor="text1"/>
        </w:rPr>
        <w:t>Su impulso del RPCT</w:t>
      </w:r>
      <w:r w:rsidR="000918CE" w:rsidRPr="00AA32A9">
        <w:rPr>
          <w:color w:val="000000" w:themeColor="text1"/>
        </w:rPr>
        <w:t>,</w:t>
      </w:r>
      <w:r w:rsidRPr="00AA32A9">
        <w:rPr>
          <w:color w:val="000000" w:themeColor="text1"/>
        </w:rPr>
        <w:t xml:space="preserve"> il Gruppo di lavoro, con la collaborazione di tutti gli uffici interessati, ha proseguito l’attività di monitoraggio che ha riguardato: </w:t>
      </w:r>
    </w:p>
    <w:p w:rsidR="00DF7685" w:rsidRPr="00AA32A9" w:rsidRDefault="00DF7685" w:rsidP="0098172D">
      <w:pPr>
        <w:spacing w:after="0"/>
        <w:jc w:val="both"/>
        <w:rPr>
          <w:color w:val="000000" w:themeColor="text1"/>
        </w:rPr>
      </w:pPr>
    </w:p>
    <w:p w:rsidR="00896281" w:rsidRPr="00682F19" w:rsidRDefault="009D05CA" w:rsidP="0098172D">
      <w:pPr>
        <w:spacing w:after="0"/>
        <w:jc w:val="both"/>
        <w:rPr>
          <w:b/>
          <w:color w:val="000000" w:themeColor="text1"/>
        </w:rPr>
      </w:pPr>
      <w:r>
        <w:rPr>
          <w:color w:val="000000" w:themeColor="text1"/>
        </w:rPr>
        <w:t xml:space="preserve">  </w:t>
      </w:r>
      <w:r w:rsidR="005E5474" w:rsidRPr="00682F19">
        <w:rPr>
          <w:b/>
          <w:color w:val="000000" w:themeColor="text1"/>
        </w:rPr>
        <w:t>a</w:t>
      </w:r>
      <w:r w:rsidR="00896281" w:rsidRPr="00682F19">
        <w:rPr>
          <w:b/>
          <w:color w:val="000000" w:themeColor="text1"/>
        </w:rPr>
        <w:t xml:space="preserve">) </w:t>
      </w:r>
      <w:r w:rsidR="00896281" w:rsidRPr="00682F19">
        <w:rPr>
          <w:b/>
          <w:color w:val="000000" w:themeColor="text1"/>
          <w:u w:val="single"/>
        </w:rPr>
        <w:t>Gli adempimenti di pubblicazione nella sezione amministrazione trasparente</w:t>
      </w:r>
    </w:p>
    <w:p w:rsidR="008A4A5D" w:rsidRDefault="00427074" w:rsidP="0098172D">
      <w:pPr>
        <w:spacing w:after="0"/>
        <w:jc w:val="both"/>
        <w:rPr>
          <w:color w:val="000000" w:themeColor="text1"/>
        </w:rPr>
      </w:pPr>
      <w:r w:rsidRPr="00AA32A9">
        <w:rPr>
          <w:color w:val="000000" w:themeColor="text1"/>
        </w:rPr>
        <w:t xml:space="preserve">Il monitoraggio effettuato nei mesi maggio e </w:t>
      </w:r>
      <w:r w:rsidR="003538FF">
        <w:rPr>
          <w:color w:val="000000" w:themeColor="text1"/>
        </w:rPr>
        <w:t>giugno 2021</w:t>
      </w:r>
      <w:r w:rsidR="00AA32A9" w:rsidRPr="00AA32A9">
        <w:rPr>
          <w:color w:val="000000" w:themeColor="text1"/>
        </w:rPr>
        <w:t xml:space="preserve"> ha riguardato le </w:t>
      </w:r>
      <w:r w:rsidRPr="00AA32A9">
        <w:rPr>
          <w:color w:val="000000" w:themeColor="text1"/>
        </w:rPr>
        <w:t xml:space="preserve">seguenti sezioni: </w:t>
      </w:r>
      <w:r w:rsidR="008A4A5D">
        <w:rPr>
          <w:color w:val="000000" w:themeColor="text1"/>
        </w:rPr>
        <w:t>Performance, Bandi di gara e contratti, Bilanci, Beni immobili e gestione patrimonio, Controlli e rilievi sull’amministrazione,</w:t>
      </w:r>
    </w:p>
    <w:p w:rsidR="00427074" w:rsidRPr="00AA32A9" w:rsidRDefault="008A4A5D" w:rsidP="0098172D">
      <w:pPr>
        <w:spacing w:after="0"/>
        <w:jc w:val="both"/>
        <w:rPr>
          <w:color w:val="000000" w:themeColor="text1"/>
        </w:rPr>
      </w:pPr>
      <w:r>
        <w:rPr>
          <w:color w:val="000000" w:themeColor="text1"/>
        </w:rPr>
        <w:lastRenderedPageBreak/>
        <w:t xml:space="preserve">Bandi di concorso. </w:t>
      </w:r>
      <w:r w:rsidR="00427074" w:rsidRPr="00AA32A9">
        <w:rPr>
          <w:color w:val="000000" w:themeColor="text1"/>
        </w:rPr>
        <w:t>I risultati del monitoraggio sono stati condivisi con il Nucleo di valutazione dell’Ateneo.</w:t>
      </w:r>
    </w:p>
    <w:p w:rsidR="00F238C6" w:rsidRPr="007C6AEC" w:rsidRDefault="00427074" w:rsidP="001933B7">
      <w:pPr>
        <w:spacing w:after="0"/>
        <w:jc w:val="both"/>
      </w:pPr>
      <w:r w:rsidRPr="007C6AEC">
        <w:t xml:space="preserve">Il monitoraggio annuale, effettuato </w:t>
      </w:r>
      <w:r w:rsidR="0098172D" w:rsidRPr="007C6AEC">
        <w:t>all’inizio</w:t>
      </w:r>
      <w:r w:rsidR="008A4A5D">
        <w:t xml:space="preserve"> del 2022</w:t>
      </w:r>
      <w:r w:rsidRPr="007C6AEC">
        <w:t xml:space="preserve"> con</w:t>
      </w:r>
      <w:r w:rsidR="008A4A5D">
        <w:t xml:space="preserve"> riferimento al 31 dicembre 2021</w:t>
      </w:r>
      <w:r w:rsidRPr="007C6AEC">
        <w:t>, ha riguar</w:t>
      </w:r>
      <w:r w:rsidR="00F238C6" w:rsidRPr="007C6AEC">
        <w:t>dato tutte le sezioni (</w:t>
      </w:r>
      <w:r w:rsidR="00AA32A9" w:rsidRPr="007C6AEC">
        <w:t>primo,</w:t>
      </w:r>
      <w:r w:rsidRPr="007C6AEC">
        <w:t xml:space="preserve"> secondo</w:t>
      </w:r>
      <w:r w:rsidR="00AA32A9" w:rsidRPr="007C6AEC">
        <w:t xml:space="preserve"> e terzo</w:t>
      </w:r>
      <w:r w:rsidRPr="007C6AEC">
        <w:t xml:space="preserve"> livello</w:t>
      </w:r>
      <w:r w:rsidR="00F238C6" w:rsidRPr="007C6AEC">
        <w:t>)</w:t>
      </w:r>
      <w:r w:rsidRPr="007C6AEC">
        <w:t xml:space="preserve"> di</w:t>
      </w:r>
      <w:r w:rsidR="00F238C6" w:rsidRPr="007C6AEC">
        <w:t xml:space="preserve"> “Amministrazione trasparente”. Gli adempimenti di pubblicazione sono n. 161. </w:t>
      </w:r>
      <w:r w:rsidR="009B63FE" w:rsidRPr="007B29B8">
        <w:t>Ottimo è il livello di</w:t>
      </w:r>
      <w:r w:rsidR="007B29B8">
        <w:t xml:space="preserve"> pubblicazione (99%)</w:t>
      </w:r>
      <w:r w:rsidR="007B29B8">
        <w:rPr>
          <w:rStyle w:val="Rimandonotaapidipagina"/>
        </w:rPr>
        <w:footnoteReference w:id="3"/>
      </w:r>
      <w:r w:rsidR="009B63FE" w:rsidRPr="007B29B8">
        <w:t xml:space="preserve"> </w:t>
      </w:r>
      <w:r w:rsidR="007B29B8">
        <w:t>e aggiornamento dei dati (98,75</w:t>
      </w:r>
      <w:r w:rsidR="009B63FE" w:rsidRPr="007B29B8">
        <w:t>%)</w:t>
      </w:r>
      <w:r w:rsidR="009B63FE" w:rsidRPr="007B29B8">
        <w:rPr>
          <w:rStyle w:val="Rimandonotaapidipagina"/>
        </w:rPr>
        <w:footnoteReference w:id="4"/>
      </w:r>
      <w:r w:rsidR="009B63FE" w:rsidRPr="007B29B8">
        <w:t>, che si presentano, quasi sempre, completi di tutte le informazioni/indicazioni richieste dalla normativa e dalle delibere A.N.AC.  (</w:t>
      </w:r>
      <w:r w:rsidR="006D1BCB" w:rsidRPr="007B29B8">
        <w:t>94</w:t>
      </w:r>
      <w:r w:rsidR="009B63FE" w:rsidRPr="007B29B8">
        <w:t>%)</w:t>
      </w:r>
      <w:r w:rsidR="009B63FE" w:rsidRPr="007B29B8">
        <w:rPr>
          <w:rStyle w:val="Rimandonotaapidipagina"/>
        </w:rPr>
        <w:footnoteReference w:id="5"/>
      </w:r>
      <w:r w:rsidR="009B63FE" w:rsidRPr="007B29B8">
        <w:t>.</w:t>
      </w:r>
      <w:r w:rsidR="009B63FE" w:rsidRPr="007C6AEC">
        <w:t xml:space="preserve"> </w:t>
      </w:r>
    </w:p>
    <w:p w:rsidR="00896281" w:rsidRPr="004E6531" w:rsidRDefault="00427074" w:rsidP="004E6531">
      <w:pPr>
        <w:spacing w:after="0"/>
        <w:jc w:val="both"/>
        <w:rPr>
          <w:b/>
          <w:color w:val="FF0000"/>
        </w:rPr>
      </w:pPr>
      <w:r w:rsidRPr="00AA32A9">
        <w:rPr>
          <w:color w:val="000000" w:themeColor="text1"/>
        </w:rPr>
        <w:t>Il risultato</w:t>
      </w:r>
      <w:r w:rsidR="00EC5D81">
        <w:rPr>
          <w:color w:val="000000" w:themeColor="text1"/>
        </w:rPr>
        <w:t xml:space="preserve"> del monitoraggio</w:t>
      </w:r>
      <w:r w:rsidRPr="00AA32A9">
        <w:rPr>
          <w:color w:val="000000" w:themeColor="text1"/>
        </w:rPr>
        <w:t xml:space="preserve"> è pubblicato </w:t>
      </w:r>
      <w:r w:rsidR="00EC5D81">
        <w:rPr>
          <w:color w:val="000000" w:themeColor="text1"/>
        </w:rPr>
        <w:t>nella sezione</w:t>
      </w:r>
      <w:r w:rsidRPr="00AA32A9">
        <w:rPr>
          <w:color w:val="000000" w:themeColor="text1"/>
        </w:rPr>
        <w:t xml:space="preserve"> Amministrazione trasparente</w:t>
      </w:r>
      <w:r w:rsidR="00EC5D81">
        <w:rPr>
          <w:color w:val="000000" w:themeColor="text1"/>
        </w:rPr>
        <w:t xml:space="preserve"> - </w:t>
      </w:r>
      <w:r w:rsidRPr="00AA32A9">
        <w:rPr>
          <w:color w:val="000000" w:themeColor="text1"/>
        </w:rPr>
        <w:t>Disposizioni generali</w:t>
      </w:r>
      <w:r w:rsidR="00EC5D81">
        <w:rPr>
          <w:rStyle w:val="Rimandonotaapidipagina"/>
          <w:color w:val="000000" w:themeColor="text1"/>
        </w:rPr>
        <w:footnoteReference w:id="6"/>
      </w:r>
      <w:r w:rsidR="00EC5D81">
        <w:rPr>
          <w:color w:val="000000" w:themeColor="text1"/>
        </w:rPr>
        <w:t>.</w:t>
      </w:r>
      <w:r w:rsidRPr="00AA32A9">
        <w:rPr>
          <w:color w:val="000000" w:themeColor="text1"/>
        </w:rPr>
        <w:t xml:space="preserve"> </w:t>
      </w:r>
    </w:p>
    <w:p w:rsidR="00682F19" w:rsidRDefault="009D05CA" w:rsidP="00AB7E56">
      <w:pPr>
        <w:spacing w:after="0"/>
        <w:jc w:val="both"/>
      </w:pPr>
      <w:r>
        <w:t xml:space="preserve"> </w:t>
      </w:r>
    </w:p>
    <w:p w:rsidR="00A721B0" w:rsidRPr="00A721B0" w:rsidRDefault="00A721B0" w:rsidP="00A721B0">
      <w:pPr>
        <w:spacing w:after="0"/>
        <w:jc w:val="both"/>
        <w:rPr>
          <w:b/>
          <w:u w:val="single"/>
        </w:rPr>
      </w:pPr>
      <w:r w:rsidRPr="00A721B0">
        <w:rPr>
          <w:b/>
          <w:u w:val="single"/>
        </w:rPr>
        <w:t>b) La pubblicazio</w:t>
      </w:r>
      <w:r w:rsidR="00B2733B">
        <w:rPr>
          <w:b/>
          <w:u w:val="single"/>
        </w:rPr>
        <w:t>ne degli atti di nomina della commissione</w:t>
      </w:r>
      <w:r w:rsidRPr="00A721B0">
        <w:rPr>
          <w:b/>
          <w:u w:val="single"/>
        </w:rPr>
        <w:t xml:space="preserve"> di concorso</w:t>
      </w:r>
      <w:r w:rsidR="00B2733B">
        <w:rPr>
          <w:b/>
          <w:u w:val="single"/>
        </w:rPr>
        <w:t xml:space="preserve"> – avvisi professori a contratto</w:t>
      </w:r>
    </w:p>
    <w:p w:rsidR="00E81E9D" w:rsidRPr="00E81E9D" w:rsidRDefault="00896726" w:rsidP="00AB7E56">
      <w:pPr>
        <w:spacing w:after="0"/>
        <w:jc w:val="both"/>
      </w:pPr>
      <w:r w:rsidRPr="00E81E9D">
        <w:t>Lo scorso anno</w:t>
      </w:r>
      <w:r w:rsidR="00447374" w:rsidRPr="00E81E9D">
        <w:t xml:space="preserve"> durante il monitoraggio sugli avvisi di selezione, pur non essendo </w:t>
      </w:r>
      <w:r w:rsidR="00E81E9D" w:rsidRPr="00E81E9D">
        <w:t xml:space="preserve">la pubblicazione dell’atto di nomina della commissione di concorso </w:t>
      </w:r>
      <w:r w:rsidR="00447374" w:rsidRPr="00E81E9D">
        <w:t xml:space="preserve">oggetto di verifica, </w:t>
      </w:r>
      <w:r w:rsidR="00B2733B" w:rsidRPr="00E81E9D">
        <w:t xml:space="preserve">si era notato </w:t>
      </w:r>
      <w:r w:rsidR="00447374" w:rsidRPr="00E81E9D">
        <w:t xml:space="preserve">che per alcune tipologie di avvisi </w:t>
      </w:r>
      <w:r w:rsidR="00B2733B" w:rsidRPr="00E81E9D">
        <w:t xml:space="preserve">di selezione </w:t>
      </w:r>
      <w:r w:rsidR="00447374" w:rsidRPr="00E81E9D">
        <w:t xml:space="preserve">non sempre </w:t>
      </w:r>
      <w:r w:rsidR="00B2733B" w:rsidRPr="00E81E9D">
        <w:t>veniva</w:t>
      </w:r>
      <w:r w:rsidR="00447374" w:rsidRPr="00E81E9D">
        <w:t xml:space="preserve"> pubblic</w:t>
      </w:r>
      <w:r w:rsidR="00B2733B" w:rsidRPr="00E81E9D">
        <w:t>ato</w:t>
      </w:r>
      <w:r w:rsidR="00447374" w:rsidRPr="00E81E9D">
        <w:t xml:space="preserve">. </w:t>
      </w:r>
      <w:r w:rsidR="00E81E9D" w:rsidRPr="00E81E9D">
        <w:t>Verificato</w:t>
      </w:r>
      <w:r w:rsidR="00447374" w:rsidRPr="00E81E9D">
        <w:t xml:space="preserve"> che si trattava </w:t>
      </w:r>
      <w:r w:rsidR="00E81E9D" w:rsidRPr="00E81E9D">
        <w:t xml:space="preserve">solo </w:t>
      </w:r>
      <w:r w:rsidR="00447374" w:rsidRPr="00E81E9D">
        <w:t>di pochi uffici</w:t>
      </w:r>
      <w:r w:rsidR="00B2733B" w:rsidRPr="00E81E9D">
        <w:t>, si è provveduto a contattare</w:t>
      </w:r>
      <w:r w:rsidR="00447374" w:rsidRPr="00E81E9D">
        <w:t xml:space="preserve"> i responsabili per informarli che la </w:t>
      </w:r>
      <w:r w:rsidR="00B2733B" w:rsidRPr="00E81E9D">
        <w:t>pubblicazione della nomina della commissione</w:t>
      </w:r>
      <w:r w:rsidR="00447374" w:rsidRPr="00E81E9D">
        <w:t xml:space="preserve"> è considerata importante ai fini della trasparenza amministrativa.</w:t>
      </w:r>
    </w:p>
    <w:p w:rsidR="00447374" w:rsidRPr="00E81E9D" w:rsidRDefault="00447374" w:rsidP="00AB7E56">
      <w:pPr>
        <w:spacing w:after="0"/>
        <w:jc w:val="both"/>
      </w:pPr>
      <w:r w:rsidRPr="00E81E9D">
        <w:t xml:space="preserve"> In fase di definizione degli obiettivi del Piano 2021-2023 si è quindi predisposto il monitoraggio per la tipologia di avvisi che presentava la maggiore criticità.</w:t>
      </w:r>
      <w:r w:rsidR="00E81E9D" w:rsidRPr="00E81E9D">
        <w:t xml:space="preserve"> </w:t>
      </w:r>
      <w:r w:rsidRPr="00E81E9D">
        <w:t xml:space="preserve">Spiace verificare che per </w:t>
      </w:r>
      <w:r w:rsidR="00B2733B" w:rsidRPr="00E81E9D">
        <w:t xml:space="preserve">gli avvisi riguardanti le selezioni per i professori a contratto continuano a non essere pubblicati gli atti riguardanti la nomina della commissione. </w:t>
      </w:r>
    </w:p>
    <w:p w:rsidR="00A721B0" w:rsidRDefault="00A721B0" w:rsidP="00AB7E56">
      <w:pPr>
        <w:spacing w:after="0"/>
        <w:jc w:val="both"/>
      </w:pPr>
    </w:p>
    <w:p w:rsidR="00896281" w:rsidRPr="00682F19" w:rsidRDefault="009D05CA" w:rsidP="00AB7E56">
      <w:pPr>
        <w:spacing w:after="0"/>
        <w:jc w:val="both"/>
        <w:rPr>
          <w:b/>
        </w:rPr>
      </w:pPr>
      <w:r>
        <w:t xml:space="preserve"> </w:t>
      </w:r>
      <w:r w:rsidR="00A721B0">
        <w:rPr>
          <w:b/>
        </w:rPr>
        <w:t>c</w:t>
      </w:r>
      <w:r w:rsidR="00896281" w:rsidRPr="00682F19">
        <w:rPr>
          <w:b/>
        </w:rPr>
        <w:t xml:space="preserve">) </w:t>
      </w:r>
      <w:r w:rsidR="00DF7685" w:rsidRPr="00DF7685">
        <w:rPr>
          <w:b/>
          <w:u w:val="single"/>
        </w:rPr>
        <w:t>La p</w:t>
      </w:r>
      <w:r w:rsidR="00896281" w:rsidRPr="00DF7685">
        <w:rPr>
          <w:b/>
          <w:u w:val="single"/>
        </w:rPr>
        <w:t>ubblicazione</w:t>
      </w:r>
      <w:r w:rsidR="00896281" w:rsidRPr="00682F19">
        <w:rPr>
          <w:b/>
          <w:u w:val="single"/>
        </w:rPr>
        <w:t xml:space="preserve"> dei criteri di valutazione stabiliti dalle Commissioni di concorso</w:t>
      </w:r>
    </w:p>
    <w:p w:rsidR="00F038CA" w:rsidRPr="00274A90" w:rsidRDefault="00896281" w:rsidP="00957D0F">
      <w:pPr>
        <w:spacing w:after="0"/>
        <w:jc w:val="both"/>
      </w:pPr>
      <w:r w:rsidRPr="00267D0B">
        <w:t>Il monitoraggio</w:t>
      </w:r>
      <w:r w:rsidR="00267D0B">
        <w:rPr>
          <w:rStyle w:val="Rimandonotaapidipagina"/>
        </w:rPr>
        <w:footnoteReference w:id="7"/>
      </w:r>
      <w:r w:rsidRPr="00267D0B">
        <w:t>, effettuato attraverso la sezione</w:t>
      </w:r>
      <w:r w:rsidR="003A6D1B" w:rsidRPr="00267D0B">
        <w:t xml:space="preserve"> web “Bandi di Concorso”</w:t>
      </w:r>
      <w:r w:rsidRPr="00267D0B">
        <w:t xml:space="preserve">, ha </w:t>
      </w:r>
      <w:r w:rsidR="00F038CA">
        <w:t>interessato:</w:t>
      </w:r>
      <w:r w:rsidR="007F054E">
        <w:t xml:space="preserve"> </w:t>
      </w:r>
      <w:r w:rsidR="007F054E" w:rsidRPr="00F038CA">
        <w:t>gli avvisi riguardanti le selezioni</w:t>
      </w:r>
      <w:r w:rsidRPr="00F038CA">
        <w:t xml:space="preserve"> </w:t>
      </w:r>
      <w:r w:rsidR="007F054E" w:rsidRPr="00F038CA">
        <w:t>per il</w:t>
      </w:r>
      <w:r w:rsidRPr="00F038CA">
        <w:t xml:space="preserve"> </w:t>
      </w:r>
      <w:r w:rsidR="0091711C" w:rsidRPr="00F038CA">
        <w:t>p</w:t>
      </w:r>
      <w:r w:rsidR="003A6D1B" w:rsidRPr="00F038CA">
        <w:t xml:space="preserve">ersonale tecnico amministrativo, </w:t>
      </w:r>
      <w:r w:rsidR="007F054E" w:rsidRPr="00F038CA">
        <w:t>i ricercatori a</w:t>
      </w:r>
      <w:r w:rsidR="00383D62" w:rsidRPr="00F038CA">
        <w:t xml:space="preserve"> tempo determinato, i professori</w:t>
      </w:r>
      <w:r w:rsidR="00F038CA" w:rsidRPr="00F038CA">
        <w:t xml:space="preserve"> a contratto,</w:t>
      </w:r>
      <w:r w:rsidR="007F054E" w:rsidRPr="00F038CA">
        <w:t xml:space="preserve"> gli incarichi di lavoro autonomo, gli assegni di ricerca e le </w:t>
      </w:r>
      <w:r w:rsidR="00267D0B" w:rsidRPr="00F038CA">
        <w:t>procedure valutative</w:t>
      </w:r>
      <w:r w:rsidR="00383D62" w:rsidRPr="00F038CA">
        <w:t xml:space="preserve"> ai sensi degli artt. 18 e 24 della</w:t>
      </w:r>
      <w:r w:rsidR="00267D0B" w:rsidRPr="00F038CA">
        <w:t xml:space="preserve"> legge</w:t>
      </w:r>
      <w:r w:rsidR="00383D62" w:rsidRPr="00F038CA">
        <w:t xml:space="preserve"> n. 240/2010</w:t>
      </w:r>
      <w:r w:rsidR="00267D0B" w:rsidRPr="00F038CA">
        <w:t>.</w:t>
      </w:r>
    </w:p>
    <w:p w:rsidR="00CF3EE4" w:rsidRPr="00274A90" w:rsidRDefault="000172AD" w:rsidP="00957D0F">
      <w:pPr>
        <w:spacing w:after="0"/>
        <w:jc w:val="both"/>
      </w:pPr>
      <w:r w:rsidRPr="00274A90">
        <w:t>Dal</w:t>
      </w:r>
      <w:r w:rsidR="00314DE3" w:rsidRPr="00274A90">
        <w:t xml:space="preserve"> </w:t>
      </w:r>
      <w:r w:rsidR="00F038CA" w:rsidRPr="00274A90">
        <w:t>confronto con il 2020</w:t>
      </w:r>
      <w:r w:rsidR="00370683" w:rsidRPr="00274A90">
        <w:t xml:space="preserve"> </w:t>
      </w:r>
      <w:r w:rsidRPr="00274A90">
        <w:t xml:space="preserve">emerge </w:t>
      </w:r>
      <w:r w:rsidR="00F038CA" w:rsidRPr="00274A90">
        <w:t xml:space="preserve">un </w:t>
      </w:r>
      <w:r w:rsidRPr="00274A90">
        <w:t xml:space="preserve">miglioramento negli adempimenti di pubblicazione per le due </w:t>
      </w:r>
      <w:r w:rsidR="007F054E" w:rsidRPr="00274A90">
        <w:t>tipologie</w:t>
      </w:r>
      <w:r w:rsidRPr="00274A90">
        <w:t xml:space="preserve"> in cui era stata rilevata una situazione d</w:t>
      </w:r>
      <w:r w:rsidR="00CF3EE4" w:rsidRPr="00274A90">
        <w:t>i criticità,</w:t>
      </w:r>
      <w:r w:rsidR="00370683" w:rsidRPr="00274A90">
        <w:t xml:space="preserve"> infatti</w:t>
      </w:r>
      <w:r w:rsidR="00CF3EE4" w:rsidRPr="00274A90">
        <w:t xml:space="preserve"> per le </w:t>
      </w:r>
      <w:r w:rsidR="007F054E" w:rsidRPr="00274A90">
        <w:rPr>
          <w:i/>
        </w:rPr>
        <w:t xml:space="preserve">selezione </w:t>
      </w:r>
      <w:r w:rsidRPr="00274A90">
        <w:rPr>
          <w:i/>
        </w:rPr>
        <w:t>professori a contratto</w:t>
      </w:r>
      <w:r w:rsidRPr="00274A90">
        <w:t xml:space="preserve"> sono pubblicati i crit</w:t>
      </w:r>
      <w:r w:rsidR="00F038CA" w:rsidRPr="00274A90">
        <w:t>eri di valutazione nel 95</w:t>
      </w:r>
      <w:r w:rsidRPr="00274A90">
        <w:t>% delle proce</w:t>
      </w:r>
      <w:r w:rsidR="00F038CA" w:rsidRPr="00274A90">
        <w:t>dure concorsuali rispetto al 57% del 2020</w:t>
      </w:r>
      <w:r w:rsidR="00383D62" w:rsidRPr="00274A90">
        <w:t xml:space="preserve">, </w:t>
      </w:r>
      <w:r w:rsidR="00F038CA" w:rsidRPr="00274A90">
        <w:t xml:space="preserve">e </w:t>
      </w:r>
      <w:r w:rsidR="007F054E" w:rsidRPr="00274A90">
        <w:t>per gli</w:t>
      </w:r>
      <w:r w:rsidRPr="00274A90">
        <w:t xml:space="preserve"> </w:t>
      </w:r>
      <w:r w:rsidRPr="00274A90">
        <w:rPr>
          <w:i/>
        </w:rPr>
        <w:t>incarichi di lavoro autonomo</w:t>
      </w:r>
      <w:r w:rsidRPr="00274A90">
        <w:t xml:space="preserve"> sono pubblicati</w:t>
      </w:r>
      <w:r w:rsidR="00F038CA" w:rsidRPr="00274A90">
        <w:t xml:space="preserve"> i criteri di valutazione nell’82%</w:t>
      </w:r>
      <w:r w:rsidR="00CF3EE4" w:rsidRPr="00274A90">
        <w:t xml:space="preserve"> delle procedure mentre </w:t>
      </w:r>
      <w:r w:rsidRPr="00274A90">
        <w:t xml:space="preserve">lo scorso anno </w:t>
      </w:r>
      <w:r w:rsidR="00CF3EE4" w:rsidRPr="00274A90">
        <w:t>la pubblicazione era al 55%</w:t>
      </w:r>
      <w:r w:rsidR="007F054E" w:rsidRPr="00274A90">
        <w:t>.</w:t>
      </w:r>
      <w:r w:rsidR="00CF3EE4" w:rsidRPr="00274A90">
        <w:t xml:space="preserve"> </w:t>
      </w:r>
      <w:r w:rsidR="00370683" w:rsidRPr="00274A90">
        <w:t xml:space="preserve">Per gli avvisi di selezione riguardanti i </w:t>
      </w:r>
      <w:r w:rsidR="00370683" w:rsidRPr="00274A90">
        <w:rPr>
          <w:i/>
        </w:rPr>
        <w:t>ricercatori a tempo determinato</w:t>
      </w:r>
      <w:r w:rsidR="00370683" w:rsidRPr="00274A90">
        <w:t xml:space="preserve"> e il </w:t>
      </w:r>
      <w:r w:rsidR="00370683" w:rsidRPr="00274A90">
        <w:rPr>
          <w:i/>
        </w:rPr>
        <w:t>personale tecnico e amministrativo</w:t>
      </w:r>
      <w:r w:rsidR="00370683" w:rsidRPr="00274A90">
        <w:t xml:space="preserve"> si conferma la pubblicazione nel 100% delle procedure. </w:t>
      </w:r>
    </w:p>
    <w:p w:rsidR="00682F19" w:rsidRPr="00957D0F" w:rsidRDefault="00274A90" w:rsidP="00957D0F">
      <w:pPr>
        <w:spacing w:after="0"/>
        <w:jc w:val="both"/>
      </w:pPr>
      <w:r w:rsidRPr="00274A90">
        <w:lastRenderedPageBreak/>
        <w:t>In controtendenza le rilevazioni riguardanti</w:t>
      </w:r>
      <w:r w:rsidR="00957D0F" w:rsidRPr="00274A90">
        <w:t xml:space="preserve"> le </w:t>
      </w:r>
      <w:r w:rsidR="00957D0F" w:rsidRPr="00274A90">
        <w:rPr>
          <w:i/>
        </w:rPr>
        <w:t>procedure valutative</w:t>
      </w:r>
      <w:r w:rsidR="00383D62" w:rsidRPr="00274A90">
        <w:rPr>
          <w:i/>
        </w:rPr>
        <w:t xml:space="preserve"> previste dalla</w:t>
      </w:r>
      <w:r w:rsidR="00957D0F" w:rsidRPr="00274A90">
        <w:rPr>
          <w:i/>
        </w:rPr>
        <w:t xml:space="preserve"> legge </w:t>
      </w:r>
      <w:r w:rsidR="00383D62" w:rsidRPr="00274A90">
        <w:rPr>
          <w:i/>
        </w:rPr>
        <w:t xml:space="preserve">n. </w:t>
      </w:r>
      <w:r w:rsidR="00957D0F" w:rsidRPr="00274A90">
        <w:rPr>
          <w:i/>
        </w:rPr>
        <w:t>240/2010</w:t>
      </w:r>
      <w:r w:rsidRPr="00274A90">
        <w:t xml:space="preserve"> per le quali la pubblicazione dei criteri definiti dalla commissione è presente nel 93% degli avvisi, rispetto al 100% rilevato lo scorso anno, e gli </w:t>
      </w:r>
      <w:r w:rsidRPr="00274A90">
        <w:rPr>
          <w:i/>
        </w:rPr>
        <w:t>assegni di ricerca</w:t>
      </w:r>
      <w:r w:rsidRPr="00274A90">
        <w:t xml:space="preserve"> per i quali la pubblicazione è presente nel 94% degli avvisi, rispetto al 97% dello scorso anno.</w:t>
      </w:r>
    </w:p>
    <w:tbl>
      <w:tblPr>
        <w:tblStyle w:val="Grigliatabella"/>
        <w:tblW w:w="9634" w:type="dxa"/>
        <w:tblLayout w:type="fixed"/>
        <w:tblLook w:val="04A0" w:firstRow="1" w:lastRow="0" w:firstColumn="1" w:lastColumn="0" w:noHBand="0" w:noVBand="1"/>
      </w:tblPr>
      <w:tblGrid>
        <w:gridCol w:w="1980"/>
        <w:gridCol w:w="709"/>
        <w:gridCol w:w="850"/>
        <w:gridCol w:w="992"/>
        <w:gridCol w:w="709"/>
        <w:gridCol w:w="851"/>
        <w:gridCol w:w="992"/>
        <w:gridCol w:w="709"/>
        <w:gridCol w:w="850"/>
        <w:gridCol w:w="992"/>
      </w:tblGrid>
      <w:tr w:rsidR="003E63ED" w:rsidTr="003E3045">
        <w:trPr>
          <w:trHeight w:val="310"/>
        </w:trPr>
        <w:tc>
          <w:tcPr>
            <w:tcW w:w="9634" w:type="dxa"/>
            <w:gridSpan w:val="10"/>
            <w:shd w:val="clear" w:color="auto" w:fill="F2F2F2" w:themeFill="background1" w:themeFillShade="F2"/>
            <w:vAlign w:val="center"/>
          </w:tcPr>
          <w:p w:rsidR="00E81E9D" w:rsidRDefault="00E81E9D" w:rsidP="00E81E9D">
            <w:pPr>
              <w:jc w:val="center"/>
              <w:rPr>
                <w:b/>
              </w:rPr>
            </w:pPr>
          </w:p>
          <w:p w:rsidR="003E63ED" w:rsidRDefault="003E63ED" w:rsidP="00E81E9D">
            <w:pPr>
              <w:jc w:val="center"/>
              <w:rPr>
                <w:b/>
                <w:bCs/>
              </w:rPr>
            </w:pPr>
            <w:r w:rsidRPr="00E81E9D">
              <w:rPr>
                <w:b/>
                <w:bCs/>
              </w:rPr>
              <w:t>Pubblicazione dei criteri di valutazione definiti dalle commissioni</w:t>
            </w:r>
          </w:p>
          <w:p w:rsidR="00E81E9D" w:rsidRPr="00E81E9D" w:rsidRDefault="00E81E9D" w:rsidP="00E81E9D">
            <w:pPr>
              <w:jc w:val="center"/>
              <w:rPr>
                <w:b/>
              </w:rPr>
            </w:pPr>
          </w:p>
        </w:tc>
      </w:tr>
      <w:tr w:rsidR="00E51592" w:rsidTr="00474ECF">
        <w:trPr>
          <w:trHeight w:val="424"/>
        </w:trPr>
        <w:tc>
          <w:tcPr>
            <w:tcW w:w="1980" w:type="dxa"/>
            <w:vMerge w:val="restart"/>
            <w:vAlign w:val="center"/>
          </w:tcPr>
          <w:p w:rsidR="00E51592" w:rsidRDefault="00E51592" w:rsidP="00C84729">
            <w:pPr>
              <w:jc w:val="center"/>
              <w:rPr>
                <w:b/>
              </w:rPr>
            </w:pPr>
          </w:p>
          <w:p w:rsidR="00E51592" w:rsidRPr="0091711C" w:rsidRDefault="00E51592" w:rsidP="00C84729">
            <w:pPr>
              <w:jc w:val="center"/>
              <w:rPr>
                <w:b/>
                <w:color w:val="C00000"/>
              </w:rPr>
            </w:pPr>
            <w:r w:rsidRPr="0091711C">
              <w:rPr>
                <w:b/>
              </w:rPr>
              <w:t>Tipologia di concorso</w:t>
            </w:r>
          </w:p>
        </w:tc>
        <w:tc>
          <w:tcPr>
            <w:tcW w:w="2551" w:type="dxa"/>
            <w:gridSpan w:val="3"/>
            <w:shd w:val="clear" w:color="auto" w:fill="DEEAF6" w:themeFill="accent1" w:themeFillTint="33"/>
            <w:vAlign w:val="center"/>
          </w:tcPr>
          <w:p w:rsidR="00E51592" w:rsidRPr="00C86157" w:rsidRDefault="00E51592" w:rsidP="00C84729">
            <w:pPr>
              <w:jc w:val="center"/>
              <w:rPr>
                <w:b/>
              </w:rPr>
            </w:pPr>
            <w:r>
              <w:rPr>
                <w:b/>
              </w:rPr>
              <w:t>Anno 2021</w:t>
            </w:r>
          </w:p>
        </w:tc>
        <w:tc>
          <w:tcPr>
            <w:tcW w:w="2552" w:type="dxa"/>
            <w:gridSpan w:val="3"/>
            <w:shd w:val="clear" w:color="auto" w:fill="FFF2CC" w:themeFill="accent4" w:themeFillTint="33"/>
            <w:vAlign w:val="center"/>
          </w:tcPr>
          <w:p w:rsidR="00E51592" w:rsidRPr="00C86157" w:rsidRDefault="00E51592" w:rsidP="00C84729">
            <w:pPr>
              <w:jc w:val="center"/>
              <w:rPr>
                <w:b/>
              </w:rPr>
            </w:pPr>
            <w:r w:rsidRPr="00C86157">
              <w:rPr>
                <w:b/>
              </w:rPr>
              <w:t>Anno 2020</w:t>
            </w:r>
          </w:p>
        </w:tc>
        <w:tc>
          <w:tcPr>
            <w:tcW w:w="2551" w:type="dxa"/>
            <w:gridSpan w:val="3"/>
            <w:shd w:val="clear" w:color="auto" w:fill="FBE4D5" w:themeFill="accent2" w:themeFillTint="33"/>
            <w:vAlign w:val="center"/>
          </w:tcPr>
          <w:p w:rsidR="00E51592" w:rsidRPr="00C86157" w:rsidRDefault="00E51592" w:rsidP="00C84729">
            <w:pPr>
              <w:jc w:val="center"/>
              <w:rPr>
                <w:b/>
              </w:rPr>
            </w:pPr>
            <w:r w:rsidRPr="00C86157">
              <w:rPr>
                <w:b/>
              </w:rPr>
              <w:t>Anno 2019</w:t>
            </w:r>
          </w:p>
        </w:tc>
      </w:tr>
      <w:tr w:rsidR="00E51592" w:rsidTr="00474ECF">
        <w:trPr>
          <w:trHeight w:val="700"/>
        </w:trPr>
        <w:tc>
          <w:tcPr>
            <w:tcW w:w="1980" w:type="dxa"/>
            <w:vMerge/>
            <w:vAlign w:val="center"/>
          </w:tcPr>
          <w:p w:rsidR="003E63ED" w:rsidRDefault="003E63ED" w:rsidP="003E63ED">
            <w:pPr>
              <w:jc w:val="center"/>
              <w:rPr>
                <w:color w:val="C00000"/>
              </w:rPr>
            </w:pPr>
          </w:p>
        </w:tc>
        <w:tc>
          <w:tcPr>
            <w:tcW w:w="709" w:type="dxa"/>
            <w:shd w:val="clear" w:color="auto" w:fill="DEEAF6" w:themeFill="accent1" w:themeFillTint="33"/>
            <w:vAlign w:val="center"/>
          </w:tcPr>
          <w:p w:rsidR="003E63ED" w:rsidRPr="003E3045" w:rsidRDefault="003E63ED" w:rsidP="003E63ED">
            <w:pPr>
              <w:jc w:val="center"/>
              <w:rPr>
                <w:b/>
                <w:color w:val="C00000"/>
                <w:sz w:val="20"/>
                <w:szCs w:val="20"/>
              </w:rPr>
            </w:pPr>
            <w:r w:rsidRPr="003E3045">
              <w:rPr>
                <w:b/>
                <w:sz w:val="20"/>
                <w:szCs w:val="20"/>
              </w:rPr>
              <w:t>n. bandi</w:t>
            </w:r>
          </w:p>
        </w:tc>
        <w:tc>
          <w:tcPr>
            <w:tcW w:w="850" w:type="dxa"/>
            <w:shd w:val="clear" w:color="auto" w:fill="DEEAF6" w:themeFill="accent1" w:themeFillTint="33"/>
            <w:vAlign w:val="center"/>
          </w:tcPr>
          <w:p w:rsidR="00E51592" w:rsidRPr="003E3045" w:rsidRDefault="003E63ED" w:rsidP="00E51592">
            <w:pPr>
              <w:jc w:val="center"/>
              <w:rPr>
                <w:b/>
                <w:sz w:val="20"/>
                <w:szCs w:val="20"/>
              </w:rPr>
            </w:pPr>
            <w:proofErr w:type="spellStart"/>
            <w:r w:rsidRPr="003E3045">
              <w:rPr>
                <w:b/>
                <w:sz w:val="20"/>
                <w:szCs w:val="20"/>
              </w:rPr>
              <w:t>Pubbli</w:t>
            </w:r>
            <w:proofErr w:type="spellEnd"/>
          </w:p>
          <w:p w:rsidR="003E63ED" w:rsidRPr="003E3045" w:rsidRDefault="003E63ED" w:rsidP="00E51592">
            <w:pPr>
              <w:jc w:val="center"/>
              <w:rPr>
                <w:b/>
                <w:sz w:val="20"/>
                <w:szCs w:val="20"/>
              </w:rPr>
            </w:pPr>
            <w:proofErr w:type="spellStart"/>
            <w:proofErr w:type="gramStart"/>
            <w:r w:rsidRPr="003E3045">
              <w:rPr>
                <w:b/>
                <w:sz w:val="20"/>
                <w:szCs w:val="20"/>
              </w:rPr>
              <w:t>cati</w:t>
            </w:r>
            <w:proofErr w:type="spellEnd"/>
            <w:proofErr w:type="gramEnd"/>
          </w:p>
        </w:tc>
        <w:tc>
          <w:tcPr>
            <w:tcW w:w="992" w:type="dxa"/>
            <w:shd w:val="clear" w:color="auto" w:fill="DEEAF6" w:themeFill="accent1" w:themeFillTint="33"/>
            <w:vAlign w:val="center"/>
          </w:tcPr>
          <w:p w:rsidR="003E63ED" w:rsidRPr="003E3045" w:rsidRDefault="003E63ED" w:rsidP="00E51592">
            <w:pPr>
              <w:rPr>
                <w:b/>
                <w:sz w:val="20"/>
                <w:szCs w:val="20"/>
              </w:rPr>
            </w:pPr>
            <w:r w:rsidRPr="003E3045">
              <w:rPr>
                <w:b/>
                <w:sz w:val="20"/>
                <w:szCs w:val="20"/>
              </w:rPr>
              <w:t>Non pub</w:t>
            </w:r>
          </w:p>
          <w:p w:rsidR="003E63ED" w:rsidRPr="003E3045" w:rsidRDefault="003E63ED" w:rsidP="003E63ED">
            <w:pPr>
              <w:jc w:val="center"/>
              <w:rPr>
                <w:b/>
                <w:sz w:val="20"/>
                <w:szCs w:val="20"/>
              </w:rPr>
            </w:pPr>
            <w:proofErr w:type="spellStart"/>
            <w:proofErr w:type="gramStart"/>
            <w:r w:rsidRPr="003E3045">
              <w:rPr>
                <w:b/>
                <w:sz w:val="20"/>
                <w:szCs w:val="20"/>
              </w:rPr>
              <w:t>blicati</w:t>
            </w:r>
            <w:proofErr w:type="spellEnd"/>
            <w:proofErr w:type="gramEnd"/>
          </w:p>
        </w:tc>
        <w:tc>
          <w:tcPr>
            <w:tcW w:w="709" w:type="dxa"/>
            <w:shd w:val="clear" w:color="auto" w:fill="FFF2CC" w:themeFill="accent4" w:themeFillTint="33"/>
            <w:vAlign w:val="center"/>
          </w:tcPr>
          <w:p w:rsidR="003E63ED" w:rsidRPr="003E3045" w:rsidRDefault="003E63ED" w:rsidP="00E51592">
            <w:pPr>
              <w:jc w:val="center"/>
              <w:rPr>
                <w:b/>
                <w:color w:val="C00000"/>
                <w:sz w:val="20"/>
                <w:szCs w:val="20"/>
              </w:rPr>
            </w:pPr>
            <w:r w:rsidRPr="003E3045">
              <w:rPr>
                <w:b/>
                <w:sz w:val="20"/>
                <w:szCs w:val="20"/>
              </w:rPr>
              <w:t>n. bandi</w:t>
            </w:r>
          </w:p>
        </w:tc>
        <w:tc>
          <w:tcPr>
            <w:tcW w:w="851" w:type="dxa"/>
            <w:shd w:val="clear" w:color="auto" w:fill="FFF2CC" w:themeFill="accent4" w:themeFillTint="33"/>
            <w:vAlign w:val="center"/>
          </w:tcPr>
          <w:p w:rsidR="003E63ED" w:rsidRPr="003E3045" w:rsidRDefault="003E63ED" w:rsidP="00E51592">
            <w:pPr>
              <w:rPr>
                <w:b/>
                <w:sz w:val="20"/>
                <w:szCs w:val="20"/>
              </w:rPr>
            </w:pPr>
            <w:proofErr w:type="spellStart"/>
            <w:r w:rsidRPr="003E3045">
              <w:rPr>
                <w:b/>
                <w:sz w:val="20"/>
                <w:szCs w:val="20"/>
              </w:rPr>
              <w:t>Pubbli</w:t>
            </w:r>
            <w:proofErr w:type="spellEnd"/>
            <w:r w:rsidR="00E51592" w:rsidRPr="003E3045">
              <w:rPr>
                <w:b/>
                <w:sz w:val="20"/>
                <w:szCs w:val="20"/>
              </w:rPr>
              <w:t xml:space="preserve"> </w:t>
            </w:r>
            <w:proofErr w:type="spellStart"/>
            <w:r w:rsidRPr="003E3045">
              <w:rPr>
                <w:b/>
                <w:sz w:val="20"/>
                <w:szCs w:val="20"/>
              </w:rPr>
              <w:t>cati</w:t>
            </w:r>
            <w:proofErr w:type="spellEnd"/>
          </w:p>
        </w:tc>
        <w:tc>
          <w:tcPr>
            <w:tcW w:w="992" w:type="dxa"/>
            <w:shd w:val="clear" w:color="auto" w:fill="FFF2CC" w:themeFill="accent4" w:themeFillTint="33"/>
            <w:vAlign w:val="center"/>
          </w:tcPr>
          <w:p w:rsidR="00E51592" w:rsidRPr="003E3045" w:rsidRDefault="003E63ED" w:rsidP="003E63ED">
            <w:pPr>
              <w:jc w:val="center"/>
              <w:rPr>
                <w:b/>
                <w:sz w:val="20"/>
                <w:szCs w:val="20"/>
              </w:rPr>
            </w:pPr>
            <w:r w:rsidRPr="003E3045">
              <w:rPr>
                <w:b/>
                <w:sz w:val="20"/>
                <w:szCs w:val="20"/>
              </w:rPr>
              <w:t>Non pub</w:t>
            </w:r>
          </w:p>
          <w:p w:rsidR="003E63ED" w:rsidRPr="003E3045" w:rsidRDefault="003E63ED" w:rsidP="003E63ED">
            <w:pPr>
              <w:jc w:val="center"/>
              <w:rPr>
                <w:b/>
                <w:sz w:val="20"/>
                <w:szCs w:val="20"/>
              </w:rPr>
            </w:pPr>
            <w:proofErr w:type="spellStart"/>
            <w:proofErr w:type="gramStart"/>
            <w:r w:rsidRPr="003E3045">
              <w:rPr>
                <w:b/>
                <w:sz w:val="20"/>
                <w:szCs w:val="20"/>
              </w:rPr>
              <w:t>blicati</w:t>
            </w:r>
            <w:proofErr w:type="spellEnd"/>
            <w:proofErr w:type="gramEnd"/>
          </w:p>
        </w:tc>
        <w:tc>
          <w:tcPr>
            <w:tcW w:w="709" w:type="dxa"/>
            <w:shd w:val="clear" w:color="auto" w:fill="FBE4D5" w:themeFill="accent2" w:themeFillTint="33"/>
            <w:vAlign w:val="center"/>
          </w:tcPr>
          <w:p w:rsidR="003E63ED" w:rsidRPr="003E3045" w:rsidRDefault="003E63ED" w:rsidP="003E63ED">
            <w:pPr>
              <w:jc w:val="center"/>
              <w:rPr>
                <w:b/>
                <w:color w:val="C00000"/>
                <w:sz w:val="20"/>
                <w:szCs w:val="20"/>
              </w:rPr>
            </w:pPr>
            <w:r w:rsidRPr="003E3045">
              <w:rPr>
                <w:b/>
                <w:sz w:val="20"/>
                <w:szCs w:val="20"/>
              </w:rPr>
              <w:t>n. bandi</w:t>
            </w:r>
          </w:p>
        </w:tc>
        <w:tc>
          <w:tcPr>
            <w:tcW w:w="850" w:type="dxa"/>
            <w:shd w:val="clear" w:color="auto" w:fill="FBE4D5" w:themeFill="accent2" w:themeFillTint="33"/>
            <w:vAlign w:val="center"/>
          </w:tcPr>
          <w:p w:rsidR="00E51592" w:rsidRPr="003E3045" w:rsidRDefault="003E63ED" w:rsidP="003E63ED">
            <w:pPr>
              <w:jc w:val="center"/>
              <w:rPr>
                <w:b/>
                <w:sz w:val="20"/>
                <w:szCs w:val="20"/>
              </w:rPr>
            </w:pPr>
            <w:proofErr w:type="spellStart"/>
            <w:r w:rsidRPr="003E3045">
              <w:rPr>
                <w:b/>
                <w:sz w:val="20"/>
                <w:szCs w:val="20"/>
              </w:rPr>
              <w:t>Pubbli</w:t>
            </w:r>
            <w:proofErr w:type="spellEnd"/>
          </w:p>
          <w:p w:rsidR="003E63ED" w:rsidRPr="003E3045" w:rsidRDefault="003E63ED" w:rsidP="003E63ED">
            <w:pPr>
              <w:jc w:val="center"/>
              <w:rPr>
                <w:b/>
                <w:sz w:val="20"/>
                <w:szCs w:val="20"/>
              </w:rPr>
            </w:pPr>
            <w:proofErr w:type="spellStart"/>
            <w:proofErr w:type="gramStart"/>
            <w:r w:rsidRPr="003E3045">
              <w:rPr>
                <w:b/>
                <w:sz w:val="20"/>
                <w:szCs w:val="20"/>
              </w:rPr>
              <w:t>cati</w:t>
            </w:r>
            <w:proofErr w:type="spellEnd"/>
            <w:proofErr w:type="gramEnd"/>
          </w:p>
        </w:tc>
        <w:tc>
          <w:tcPr>
            <w:tcW w:w="992" w:type="dxa"/>
            <w:shd w:val="clear" w:color="auto" w:fill="FBE4D5" w:themeFill="accent2" w:themeFillTint="33"/>
            <w:vAlign w:val="center"/>
          </w:tcPr>
          <w:p w:rsidR="00E51592" w:rsidRPr="003E3045" w:rsidRDefault="00E51592" w:rsidP="00E51592">
            <w:pPr>
              <w:rPr>
                <w:b/>
                <w:sz w:val="20"/>
                <w:szCs w:val="20"/>
              </w:rPr>
            </w:pPr>
            <w:r w:rsidRPr="003E3045">
              <w:rPr>
                <w:b/>
                <w:sz w:val="20"/>
                <w:szCs w:val="20"/>
              </w:rPr>
              <w:t xml:space="preserve">Non </w:t>
            </w:r>
            <w:r w:rsidR="003E63ED" w:rsidRPr="003E3045">
              <w:rPr>
                <w:b/>
                <w:sz w:val="20"/>
                <w:szCs w:val="20"/>
              </w:rPr>
              <w:t>pub</w:t>
            </w:r>
          </w:p>
          <w:p w:rsidR="003E63ED" w:rsidRPr="003E3045" w:rsidRDefault="003E63ED" w:rsidP="00E51592">
            <w:pPr>
              <w:rPr>
                <w:b/>
                <w:sz w:val="20"/>
                <w:szCs w:val="20"/>
              </w:rPr>
            </w:pPr>
            <w:proofErr w:type="spellStart"/>
            <w:proofErr w:type="gramStart"/>
            <w:r w:rsidRPr="003E3045">
              <w:rPr>
                <w:b/>
                <w:sz w:val="20"/>
                <w:szCs w:val="20"/>
              </w:rPr>
              <w:t>blicati</w:t>
            </w:r>
            <w:proofErr w:type="spellEnd"/>
            <w:proofErr w:type="gramEnd"/>
          </w:p>
        </w:tc>
      </w:tr>
      <w:tr w:rsidR="00E51592" w:rsidTr="00474ECF">
        <w:trPr>
          <w:trHeight w:val="1001"/>
        </w:trPr>
        <w:tc>
          <w:tcPr>
            <w:tcW w:w="1980" w:type="dxa"/>
            <w:vAlign w:val="center"/>
          </w:tcPr>
          <w:p w:rsidR="003E63ED" w:rsidRPr="003E3045" w:rsidRDefault="003E63ED" w:rsidP="003E63ED">
            <w:pPr>
              <w:jc w:val="center"/>
              <w:rPr>
                <w:bCs/>
                <w:sz w:val="20"/>
                <w:szCs w:val="20"/>
              </w:rPr>
            </w:pPr>
            <w:r w:rsidRPr="003E3045">
              <w:rPr>
                <w:bCs/>
                <w:sz w:val="20"/>
                <w:szCs w:val="20"/>
              </w:rPr>
              <w:t>Pe</w:t>
            </w:r>
            <w:r w:rsidR="00E51592" w:rsidRPr="003E3045">
              <w:rPr>
                <w:bCs/>
                <w:sz w:val="20"/>
                <w:szCs w:val="20"/>
              </w:rPr>
              <w:t>rsonale T.A.</w:t>
            </w:r>
            <w:r w:rsidRPr="003E3045">
              <w:rPr>
                <w:bCs/>
                <w:sz w:val="20"/>
                <w:szCs w:val="20"/>
              </w:rPr>
              <w:t xml:space="preserve"> (tempo determinato e indeterminato, iscritti elenchi L. 68/99, CEL)</w:t>
            </w:r>
          </w:p>
        </w:tc>
        <w:tc>
          <w:tcPr>
            <w:tcW w:w="709" w:type="dxa"/>
            <w:shd w:val="clear" w:color="auto" w:fill="DEEAF6" w:themeFill="accent1" w:themeFillTint="33"/>
            <w:vAlign w:val="center"/>
          </w:tcPr>
          <w:p w:rsidR="00E51592" w:rsidRDefault="009744B1" w:rsidP="00E51592">
            <w:pPr>
              <w:jc w:val="center"/>
            </w:pPr>
            <w:r>
              <w:t>15</w:t>
            </w:r>
          </w:p>
        </w:tc>
        <w:tc>
          <w:tcPr>
            <w:tcW w:w="850" w:type="dxa"/>
            <w:shd w:val="clear" w:color="auto" w:fill="DEEAF6" w:themeFill="accent1" w:themeFillTint="33"/>
            <w:vAlign w:val="center"/>
          </w:tcPr>
          <w:p w:rsidR="003E63ED" w:rsidRDefault="002D1207" w:rsidP="003E63ED">
            <w:pPr>
              <w:jc w:val="center"/>
            </w:pPr>
            <w:r>
              <w:t>15</w:t>
            </w:r>
          </w:p>
          <w:p w:rsidR="006D57A7" w:rsidRDefault="006D57A7" w:rsidP="003E63ED">
            <w:pPr>
              <w:jc w:val="center"/>
            </w:pPr>
            <w:r>
              <w:t>(100%)</w:t>
            </w:r>
          </w:p>
        </w:tc>
        <w:tc>
          <w:tcPr>
            <w:tcW w:w="992" w:type="dxa"/>
            <w:shd w:val="clear" w:color="auto" w:fill="DEEAF6" w:themeFill="accent1" w:themeFillTint="33"/>
            <w:vAlign w:val="center"/>
          </w:tcPr>
          <w:p w:rsidR="003E63ED" w:rsidRDefault="009744B1" w:rsidP="003E63ED">
            <w:pPr>
              <w:jc w:val="center"/>
            </w:pPr>
            <w:proofErr w:type="gramStart"/>
            <w:r>
              <w:t>zero</w:t>
            </w:r>
            <w:proofErr w:type="gramEnd"/>
          </w:p>
        </w:tc>
        <w:tc>
          <w:tcPr>
            <w:tcW w:w="709" w:type="dxa"/>
            <w:shd w:val="clear" w:color="auto" w:fill="FFF2CC" w:themeFill="accent4" w:themeFillTint="33"/>
            <w:vAlign w:val="center"/>
          </w:tcPr>
          <w:p w:rsidR="003E63ED" w:rsidRPr="00267D0B" w:rsidRDefault="003E63ED" w:rsidP="003E63ED">
            <w:pPr>
              <w:jc w:val="center"/>
            </w:pPr>
            <w:r>
              <w:t>13</w:t>
            </w:r>
          </w:p>
        </w:tc>
        <w:tc>
          <w:tcPr>
            <w:tcW w:w="851" w:type="dxa"/>
            <w:shd w:val="clear" w:color="auto" w:fill="FFF2CC" w:themeFill="accent4" w:themeFillTint="33"/>
            <w:vAlign w:val="center"/>
          </w:tcPr>
          <w:p w:rsidR="003E63ED" w:rsidRPr="00267D0B" w:rsidRDefault="003E63ED" w:rsidP="003E63ED">
            <w:pPr>
              <w:jc w:val="center"/>
            </w:pPr>
            <w:r>
              <w:t>13</w:t>
            </w:r>
            <w:r w:rsidRPr="00267D0B">
              <w:t xml:space="preserve"> (100%)</w:t>
            </w:r>
          </w:p>
        </w:tc>
        <w:tc>
          <w:tcPr>
            <w:tcW w:w="992" w:type="dxa"/>
            <w:shd w:val="clear" w:color="auto" w:fill="FFF2CC" w:themeFill="accent4" w:themeFillTint="33"/>
            <w:vAlign w:val="center"/>
          </w:tcPr>
          <w:p w:rsidR="003E63ED" w:rsidRPr="00267D0B" w:rsidRDefault="003E63ED" w:rsidP="003E63ED">
            <w:pPr>
              <w:jc w:val="center"/>
            </w:pPr>
            <w:proofErr w:type="gramStart"/>
            <w:r w:rsidRPr="00267D0B">
              <w:t>zero</w:t>
            </w:r>
            <w:proofErr w:type="gramEnd"/>
          </w:p>
        </w:tc>
        <w:tc>
          <w:tcPr>
            <w:tcW w:w="709"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Pr>
                <w:rFonts w:ascii="Calibri" w:eastAsia="Times New Roman" w:hAnsi="Calibri" w:cs="Times New Roman"/>
                <w:bCs/>
                <w:lang w:eastAsia="it-IT"/>
              </w:rPr>
              <w:t>7</w:t>
            </w:r>
          </w:p>
        </w:tc>
        <w:tc>
          <w:tcPr>
            <w:tcW w:w="850"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Pr>
                <w:rFonts w:ascii="Calibri" w:eastAsia="Times New Roman" w:hAnsi="Calibri" w:cs="Times New Roman"/>
                <w:bCs/>
                <w:lang w:eastAsia="it-IT"/>
              </w:rPr>
              <w:t>7</w:t>
            </w:r>
            <w:r w:rsidRPr="00267D0B">
              <w:rPr>
                <w:rFonts w:ascii="Calibri" w:eastAsia="Times New Roman" w:hAnsi="Calibri" w:cs="Times New Roman"/>
                <w:bCs/>
                <w:lang w:eastAsia="it-IT"/>
              </w:rPr>
              <w:t xml:space="preserve"> (100%)</w:t>
            </w:r>
          </w:p>
        </w:tc>
        <w:tc>
          <w:tcPr>
            <w:tcW w:w="992"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proofErr w:type="gramStart"/>
            <w:r w:rsidRPr="00267D0B">
              <w:rPr>
                <w:rFonts w:ascii="Calibri" w:eastAsia="Times New Roman" w:hAnsi="Calibri" w:cs="Times New Roman"/>
                <w:bCs/>
                <w:lang w:eastAsia="it-IT"/>
              </w:rPr>
              <w:t>zero</w:t>
            </w:r>
            <w:proofErr w:type="gramEnd"/>
          </w:p>
        </w:tc>
      </w:tr>
      <w:tr w:rsidR="00E51592" w:rsidTr="00474ECF">
        <w:trPr>
          <w:trHeight w:val="728"/>
        </w:trPr>
        <w:tc>
          <w:tcPr>
            <w:tcW w:w="1980" w:type="dxa"/>
            <w:vAlign w:val="center"/>
          </w:tcPr>
          <w:p w:rsidR="003E63ED" w:rsidRPr="003E3045" w:rsidRDefault="003E63ED" w:rsidP="003E63ED">
            <w:pPr>
              <w:jc w:val="center"/>
              <w:rPr>
                <w:sz w:val="20"/>
                <w:szCs w:val="20"/>
              </w:rPr>
            </w:pPr>
            <w:r w:rsidRPr="003E3045">
              <w:rPr>
                <w:sz w:val="20"/>
                <w:szCs w:val="20"/>
              </w:rPr>
              <w:t>Ricercatore TD (senior e junior)</w:t>
            </w:r>
          </w:p>
        </w:tc>
        <w:tc>
          <w:tcPr>
            <w:tcW w:w="709" w:type="dxa"/>
            <w:shd w:val="clear" w:color="auto" w:fill="DEEAF6" w:themeFill="accent1" w:themeFillTint="33"/>
            <w:vAlign w:val="center"/>
          </w:tcPr>
          <w:p w:rsidR="003E63ED" w:rsidRPr="00267D0B" w:rsidRDefault="009744B1" w:rsidP="003E63ED">
            <w:pPr>
              <w:jc w:val="center"/>
            </w:pPr>
            <w:r>
              <w:t>80</w:t>
            </w:r>
          </w:p>
        </w:tc>
        <w:tc>
          <w:tcPr>
            <w:tcW w:w="850" w:type="dxa"/>
            <w:shd w:val="clear" w:color="auto" w:fill="DEEAF6" w:themeFill="accent1" w:themeFillTint="33"/>
            <w:vAlign w:val="center"/>
          </w:tcPr>
          <w:p w:rsidR="003E63ED" w:rsidRDefault="002D1207" w:rsidP="003E63ED">
            <w:pPr>
              <w:jc w:val="center"/>
            </w:pPr>
            <w:r>
              <w:t>80</w:t>
            </w:r>
          </w:p>
          <w:p w:rsidR="006D57A7" w:rsidRPr="00267D0B" w:rsidRDefault="006D57A7" w:rsidP="003E63ED">
            <w:pPr>
              <w:jc w:val="center"/>
            </w:pPr>
            <w:r>
              <w:t>(100)</w:t>
            </w:r>
          </w:p>
        </w:tc>
        <w:tc>
          <w:tcPr>
            <w:tcW w:w="992" w:type="dxa"/>
            <w:shd w:val="clear" w:color="auto" w:fill="DEEAF6" w:themeFill="accent1" w:themeFillTint="33"/>
            <w:vAlign w:val="center"/>
          </w:tcPr>
          <w:p w:rsidR="003E63ED" w:rsidRPr="00267D0B" w:rsidRDefault="009744B1" w:rsidP="003E63ED">
            <w:pPr>
              <w:jc w:val="center"/>
            </w:pPr>
            <w:proofErr w:type="gramStart"/>
            <w:r>
              <w:t>zero</w:t>
            </w:r>
            <w:proofErr w:type="gramEnd"/>
          </w:p>
        </w:tc>
        <w:tc>
          <w:tcPr>
            <w:tcW w:w="709" w:type="dxa"/>
            <w:shd w:val="clear" w:color="auto" w:fill="FFF2CC" w:themeFill="accent4" w:themeFillTint="33"/>
            <w:vAlign w:val="center"/>
          </w:tcPr>
          <w:p w:rsidR="003E63ED" w:rsidRPr="00267D0B" w:rsidRDefault="003E63ED" w:rsidP="003E63ED">
            <w:pPr>
              <w:jc w:val="center"/>
            </w:pPr>
            <w:r w:rsidRPr="00267D0B">
              <w:t>14</w:t>
            </w:r>
          </w:p>
        </w:tc>
        <w:tc>
          <w:tcPr>
            <w:tcW w:w="851" w:type="dxa"/>
            <w:shd w:val="clear" w:color="auto" w:fill="FFF2CC" w:themeFill="accent4" w:themeFillTint="33"/>
            <w:vAlign w:val="center"/>
          </w:tcPr>
          <w:p w:rsidR="003E63ED" w:rsidRPr="00267D0B" w:rsidRDefault="003E63ED" w:rsidP="003E63ED">
            <w:pPr>
              <w:jc w:val="center"/>
            </w:pPr>
            <w:r w:rsidRPr="00267D0B">
              <w:t>14 (100%)</w:t>
            </w:r>
          </w:p>
        </w:tc>
        <w:tc>
          <w:tcPr>
            <w:tcW w:w="992" w:type="dxa"/>
            <w:shd w:val="clear" w:color="auto" w:fill="FFF2CC" w:themeFill="accent4" w:themeFillTint="33"/>
            <w:vAlign w:val="center"/>
          </w:tcPr>
          <w:p w:rsidR="003E63ED" w:rsidRPr="00267D0B" w:rsidRDefault="003E63ED" w:rsidP="003E63ED">
            <w:pPr>
              <w:jc w:val="center"/>
            </w:pPr>
            <w:proofErr w:type="gramStart"/>
            <w:r w:rsidRPr="00267D0B">
              <w:t>zero</w:t>
            </w:r>
            <w:proofErr w:type="gramEnd"/>
          </w:p>
        </w:tc>
        <w:tc>
          <w:tcPr>
            <w:tcW w:w="709"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sidRPr="00267D0B">
              <w:rPr>
                <w:rFonts w:ascii="Calibri" w:eastAsia="Times New Roman" w:hAnsi="Calibri" w:cs="Times New Roman"/>
                <w:bCs/>
                <w:lang w:eastAsia="it-IT"/>
              </w:rPr>
              <w:t>30</w:t>
            </w:r>
          </w:p>
        </w:tc>
        <w:tc>
          <w:tcPr>
            <w:tcW w:w="850"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sidRPr="00267D0B">
              <w:rPr>
                <w:rFonts w:ascii="Calibri" w:eastAsia="Times New Roman" w:hAnsi="Calibri" w:cs="Times New Roman"/>
                <w:bCs/>
                <w:lang w:eastAsia="it-IT"/>
              </w:rPr>
              <w:t>30 (100%)</w:t>
            </w:r>
          </w:p>
        </w:tc>
        <w:tc>
          <w:tcPr>
            <w:tcW w:w="992"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proofErr w:type="gramStart"/>
            <w:r w:rsidRPr="00267D0B">
              <w:rPr>
                <w:rFonts w:ascii="Calibri" w:eastAsia="Times New Roman" w:hAnsi="Calibri" w:cs="Times New Roman"/>
                <w:bCs/>
                <w:lang w:eastAsia="it-IT"/>
              </w:rPr>
              <w:t>zero</w:t>
            </w:r>
            <w:proofErr w:type="gramEnd"/>
          </w:p>
        </w:tc>
      </w:tr>
      <w:tr w:rsidR="00E51592" w:rsidTr="00474ECF">
        <w:trPr>
          <w:trHeight w:val="710"/>
        </w:trPr>
        <w:tc>
          <w:tcPr>
            <w:tcW w:w="1980" w:type="dxa"/>
            <w:vAlign w:val="center"/>
          </w:tcPr>
          <w:p w:rsidR="003E63ED" w:rsidRPr="003E3045" w:rsidRDefault="003E63ED" w:rsidP="003E63ED">
            <w:pPr>
              <w:jc w:val="center"/>
              <w:rPr>
                <w:sz w:val="20"/>
                <w:szCs w:val="20"/>
              </w:rPr>
            </w:pPr>
            <w:r w:rsidRPr="003E3045">
              <w:rPr>
                <w:sz w:val="20"/>
                <w:szCs w:val="20"/>
              </w:rPr>
              <w:t>Selezioni professori a contratto</w:t>
            </w:r>
          </w:p>
        </w:tc>
        <w:tc>
          <w:tcPr>
            <w:tcW w:w="709" w:type="dxa"/>
            <w:shd w:val="clear" w:color="auto" w:fill="DEEAF6" w:themeFill="accent1" w:themeFillTint="33"/>
            <w:vAlign w:val="center"/>
          </w:tcPr>
          <w:p w:rsidR="003E63ED" w:rsidRPr="00267D0B" w:rsidRDefault="001E2D41" w:rsidP="003E63ED">
            <w:pPr>
              <w:jc w:val="center"/>
            </w:pPr>
            <w:r>
              <w:t>61</w:t>
            </w:r>
          </w:p>
        </w:tc>
        <w:tc>
          <w:tcPr>
            <w:tcW w:w="850" w:type="dxa"/>
            <w:shd w:val="clear" w:color="auto" w:fill="DEEAF6" w:themeFill="accent1" w:themeFillTint="33"/>
            <w:vAlign w:val="center"/>
          </w:tcPr>
          <w:p w:rsidR="003E63ED" w:rsidRDefault="001E2D41" w:rsidP="003E63ED">
            <w:pPr>
              <w:jc w:val="center"/>
            </w:pPr>
            <w:r>
              <w:t>58</w:t>
            </w:r>
          </w:p>
          <w:p w:rsidR="00860165" w:rsidRPr="00267D0B" w:rsidRDefault="00860165" w:rsidP="003E63ED">
            <w:pPr>
              <w:jc w:val="center"/>
            </w:pPr>
            <w:r>
              <w:t>(95%)</w:t>
            </w:r>
          </w:p>
        </w:tc>
        <w:tc>
          <w:tcPr>
            <w:tcW w:w="992" w:type="dxa"/>
            <w:shd w:val="clear" w:color="auto" w:fill="DEEAF6" w:themeFill="accent1" w:themeFillTint="33"/>
            <w:vAlign w:val="center"/>
          </w:tcPr>
          <w:p w:rsidR="003E63ED" w:rsidRDefault="001E2D41" w:rsidP="003E63ED">
            <w:pPr>
              <w:jc w:val="center"/>
            </w:pPr>
            <w:r>
              <w:t>3</w:t>
            </w:r>
          </w:p>
          <w:p w:rsidR="00860165" w:rsidRPr="00267D0B" w:rsidRDefault="00860165" w:rsidP="003E63ED">
            <w:pPr>
              <w:jc w:val="center"/>
            </w:pPr>
            <w:r>
              <w:t>(5%)</w:t>
            </w:r>
          </w:p>
        </w:tc>
        <w:tc>
          <w:tcPr>
            <w:tcW w:w="709" w:type="dxa"/>
            <w:shd w:val="clear" w:color="auto" w:fill="FFF2CC" w:themeFill="accent4" w:themeFillTint="33"/>
            <w:vAlign w:val="center"/>
          </w:tcPr>
          <w:p w:rsidR="003E63ED" w:rsidRPr="00267D0B" w:rsidRDefault="003E63ED" w:rsidP="003E63ED">
            <w:pPr>
              <w:jc w:val="center"/>
            </w:pPr>
            <w:r w:rsidRPr="00267D0B">
              <w:t>56</w:t>
            </w:r>
          </w:p>
        </w:tc>
        <w:tc>
          <w:tcPr>
            <w:tcW w:w="851" w:type="dxa"/>
            <w:shd w:val="clear" w:color="auto" w:fill="FFF2CC" w:themeFill="accent4" w:themeFillTint="33"/>
            <w:vAlign w:val="center"/>
          </w:tcPr>
          <w:p w:rsidR="003E63ED" w:rsidRPr="00957D0F" w:rsidRDefault="003E63ED" w:rsidP="003E63ED">
            <w:pPr>
              <w:jc w:val="center"/>
            </w:pPr>
            <w:r w:rsidRPr="00957D0F">
              <w:t>32 (57%)</w:t>
            </w:r>
          </w:p>
        </w:tc>
        <w:tc>
          <w:tcPr>
            <w:tcW w:w="992" w:type="dxa"/>
            <w:shd w:val="clear" w:color="auto" w:fill="FFF2CC" w:themeFill="accent4" w:themeFillTint="33"/>
            <w:vAlign w:val="center"/>
          </w:tcPr>
          <w:p w:rsidR="003E63ED" w:rsidRPr="00267D0B" w:rsidRDefault="003E63ED" w:rsidP="003E63ED">
            <w:pPr>
              <w:jc w:val="center"/>
            </w:pPr>
            <w:r w:rsidRPr="00267D0B">
              <w:t>24 (43%)</w:t>
            </w:r>
          </w:p>
        </w:tc>
        <w:tc>
          <w:tcPr>
            <w:tcW w:w="709"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sidRPr="00267D0B">
              <w:rPr>
                <w:rFonts w:ascii="Calibri" w:eastAsia="Times New Roman" w:hAnsi="Calibri" w:cs="Times New Roman"/>
                <w:bCs/>
                <w:lang w:eastAsia="it-IT"/>
              </w:rPr>
              <w:t>55</w:t>
            </w:r>
          </w:p>
        </w:tc>
        <w:tc>
          <w:tcPr>
            <w:tcW w:w="850"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proofErr w:type="gramStart"/>
            <w:r w:rsidRPr="00267D0B">
              <w:rPr>
                <w:rFonts w:ascii="Calibri" w:eastAsia="Times New Roman" w:hAnsi="Calibri" w:cs="Times New Roman"/>
                <w:bCs/>
                <w:lang w:eastAsia="it-IT"/>
              </w:rPr>
              <w:t>zero</w:t>
            </w:r>
            <w:proofErr w:type="gramEnd"/>
          </w:p>
        </w:tc>
        <w:tc>
          <w:tcPr>
            <w:tcW w:w="992"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sidRPr="00267D0B">
              <w:rPr>
                <w:rFonts w:ascii="Calibri" w:eastAsia="Times New Roman" w:hAnsi="Calibri" w:cs="Times New Roman"/>
                <w:bCs/>
                <w:lang w:eastAsia="it-IT"/>
              </w:rPr>
              <w:t>55 (100%)</w:t>
            </w:r>
          </w:p>
        </w:tc>
      </w:tr>
      <w:tr w:rsidR="00E51592" w:rsidTr="00474ECF">
        <w:trPr>
          <w:trHeight w:val="678"/>
        </w:trPr>
        <w:tc>
          <w:tcPr>
            <w:tcW w:w="1980" w:type="dxa"/>
            <w:vAlign w:val="center"/>
          </w:tcPr>
          <w:p w:rsidR="003E63ED" w:rsidRPr="003E3045" w:rsidRDefault="003E63ED" w:rsidP="003E63ED">
            <w:pPr>
              <w:jc w:val="center"/>
              <w:rPr>
                <w:sz w:val="20"/>
                <w:szCs w:val="20"/>
              </w:rPr>
            </w:pPr>
            <w:r w:rsidRPr="003E3045">
              <w:rPr>
                <w:rFonts w:ascii="Calibri" w:eastAsia="Times New Roman" w:hAnsi="Calibri" w:cs="Times New Roman"/>
                <w:bCs/>
                <w:sz w:val="20"/>
                <w:szCs w:val="20"/>
                <w:lang w:eastAsia="it-IT"/>
              </w:rPr>
              <w:t>Incarichi di lavoro autonomo</w:t>
            </w:r>
          </w:p>
        </w:tc>
        <w:tc>
          <w:tcPr>
            <w:tcW w:w="709" w:type="dxa"/>
            <w:shd w:val="clear" w:color="auto" w:fill="DEEAF6" w:themeFill="accent1" w:themeFillTint="33"/>
            <w:vAlign w:val="center"/>
          </w:tcPr>
          <w:p w:rsidR="003E63ED" w:rsidRPr="00267D0B" w:rsidRDefault="009744B1" w:rsidP="003E63ED">
            <w:pPr>
              <w:jc w:val="center"/>
            </w:pPr>
            <w:r>
              <w:t>143</w:t>
            </w:r>
          </w:p>
        </w:tc>
        <w:tc>
          <w:tcPr>
            <w:tcW w:w="850" w:type="dxa"/>
            <w:shd w:val="clear" w:color="auto" w:fill="DEEAF6" w:themeFill="accent1" w:themeFillTint="33"/>
            <w:vAlign w:val="center"/>
          </w:tcPr>
          <w:p w:rsidR="003E63ED" w:rsidRDefault="009744B1" w:rsidP="003E63ED">
            <w:pPr>
              <w:jc w:val="center"/>
            </w:pPr>
            <w:r>
              <w:t>117</w:t>
            </w:r>
          </w:p>
          <w:p w:rsidR="00860165" w:rsidRPr="00267D0B" w:rsidRDefault="00860165" w:rsidP="003E63ED">
            <w:pPr>
              <w:jc w:val="center"/>
            </w:pPr>
            <w:r>
              <w:t>(82%)</w:t>
            </w:r>
          </w:p>
        </w:tc>
        <w:tc>
          <w:tcPr>
            <w:tcW w:w="992" w:type="dxa"/>
            <w:shd w:val="clear" w:color="auto" w:fill="DEEAF6" w:themeFill="accent1" w:themeFillTint="33"/>
            <w:vAlign w:val="center"/>
          </w:tcPr>
          <w:p w:rsidR="003E63ED" w:rsidRDefault="009744B1" w:rsidP="003E63ED">
            <w:pPr>
              <w:jc w:val="center"/>
            </w:pPr>
            <w:r>
              <w:t>26</w:t>
            </w:r>
          </w:p>
          <w:p w:rsidR="00860165" w:rsidRPr="00267D0B" w:rsidRDefault="00860165" w:rsidP="003E63ED">
            <w:pPr>
              <w:jc w:val="center"/>
            </w:pPr>
            <w:r>
              <w:t>(18%)</w:t>
            </w:r>
          </w:p>
        </w:tc>
        <w:tc>
          <w:tcPr>
            <w:tcW w:w="709" w:type="dxa"/>
            <w:shd w:val="clear" w:color="auto" w:fill="FFF2CC" w:themeFill="accent4" w:themeFillTint="33"/>
            <w:vAlign w:val="center"/>
          </w:tcPr>
          <w:p w:rsidR="003E63ED" w:rsidRPr="00267D0B" w:rsidRDefault="003E63ED" w:rsidP="003E63ED">
            <w:pPr>
              <w:jc w:val="center"/>
            </w:pPr>
            <w:r w:rsidRPr="00267D0B">
              <w:t>131</w:t>
            </w:r>
          </w:p>
        </w:tc>
        <w:tc>
          <w:tcPr>
            <w:tcW w:w="851" w:type="dxa"/>
            <w:shd w:val="clear" w:color="auto" w:fill="FFF2CC" w:themeFill="accent4" w:themeFillTint="33"/>
            <w:vAlign w:val="center"/>
          </w:tcPr>
          <w:p w:rsidR="003E63ED" w:rsidRPr="00752439" w:rsidRDefault="00CF3EE4" w:rsidP="003E63ED">
            <w:pPr>
              <w:jc w:val="center"/>
            </w:pPr>
            <w:r w:rsidRPr="00752439">
              <w:t>72 (5</w:t>
            </w:r>
            <w:r w:rsidR="003E63ED" w:rsidRPr="00752439">
              <w:t>5%)</w:t>
            </w:r>
          </w:p>
        </w:tc>
        <w:tc>
          <w:tcPr>
            <w:tcW w:w="992" w:type="dxa"/>
            <w:shd w:val="clear" w:color="auto" w:fill="FFF2CC" w:themeFill="accent4" w:themeFillTint="33"/>
            <w:vAlign w:val="center"/>
          </w:tcPr>
          <w:p w:rsidR="003E63ED" w:rsidRPr="00752439" w:rsidRDefault="003E63ED" w:rsidP="003E63ED">
            <w:pPr>
              <w:jc w:val="center"/>
            </w:pPr>
            <w:r w:rsidRPr="00752439">
              <w:t>59 (45%)</w:t>
            </w:r>
          </w:p>
        </w:tc>
        <w:tc>
          <w:tcPr>
            <w:tcW w:w="709"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sidRPr="00267D0B">
              <w:rPr>
                <w:rFonts w:ascii="Calibri" w:eastAsia="Times New Roman" w:hAnsi="Calibri" w:cs="Times New Roman"/>
                <w:bCs/>
                <w:lang w:eastAsia="it-IT"/>
              </w:rPr>
              <w:t>216</w:t>
            </w:r>
          </w:p>
        </w:tc>
        <w:tc>
          <w:tcPr>
            <w:tcW w:w="850"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sidRPr="00267D0B">
              <w:rPr>
                <w:rFonts w:ascii="Calibri" w:eastAsia="Times New Roman" w:hAnsi="Calibri" w:cs="Times New Roman"/>
                <w:bCs/>
                <w:lang w:eastAsia="it-IT"/>
              </w:rPr>
              <w:t>111 (51%)</w:t>
            </w:r>
          </w:p>
        </w:tc>
        <w:tc>
          <w:tcPr>
            <w:tcW w:w="992" w:type="dxa"/>
            <w:shd w:val="clear" w:color="auto" w:fill="FBE4D5" w:themeFill="accent2" w:themeFillTint="33"/>
            <w:vAlign w:val="center"/>
          </w:tcPr>
          <w:p w:rsidR="003E63ED" w:rsidRPr="00267D0B" w:rsidRDefault="003E63ED" w:rsidP="003E63ED">
            <w:pPr>
              <w:jc w:val="center"/>
              <w:rPr>
                <w:rFonts w:ascii="Calibri" w:eastAsia="Times New Roman" w:hAnsi="Calibri" w:cs="Times New Roman"/>
                <w:bCs/>
                <w:lang w:eastAsia="it-IT"/>
              </w:rPr>
            </w:pPr>
            <w:r w:rsidRPr="00267D0B">
              <w:rPr>
                <w:rFonts w:ascii="Calibri" w:eastAsia="Times New Roman" w:hAnsi="Calibri" w:cs="Times New Roman"/>
                <w:bCs/>
                <w:lang w:eastAsia="it-IT"/>
              </w:rPr>
              <w:t>105 (49%)</w:t>
            </w:r>
          </w:p>
        </w:tc>
      </w:tr>
      <w:tr w:rsidR="00E51592" w:rsidTr="00474ECF">
        <w:trPr>
          <w:trHeight w:val="630"/>
        </w:trPr>
        <w:tc>
          <w:tcPr>
            <w:tcW w:w="1980" w:type="dxa"/>
            <w:vAlign w:val="center"/>
          </w:tcPr>
          <w:p w:rsidR="003E63ED" w:rsidRPr="003E3045" w:rsidRDefault="003E63ED" w:rsidP="003E63ED">
            <w:pPr>
              <w:jc w:val="center"/>
              <w:rPr>
                <w:sz w:val="20"/>
                <w:szCs w:val="20"/>
              </w:rPr>
            </w:pPr>
            <w:r w:rsidRPr="003E3045">
              <w:rPr>
                <w:sz w:val="20"/>
                <w:szCs w:val="20"/>
              </w:rPr>
              <w:t>Assegni di ricerca</w:t>
            </w:r>
          </w:p>
        </w:tc>
        <w:tc>
          <w:tcPr>
            <w:tcW w:w="709" w:type="dxa"/>
            <w:shd w:val="clear" w:color="auto" w:fill="DEEAF6" w:themeFill="accent1" w:themeFillTint="33"/>
            <w:vAlign w:val="center"/>
          </w:tcPr>
          <w:p w:rsidR="003E63ED" w:rsidRPr="00267D0B" w:rsidRDefault="006D57A7" w:rsidP="003E63ED">
            <w:pPr>
              <w:jc w:val="center"/>
            </w:pPr>
            <w:r>
              <w:t>64</w:t>
            </w:r>
          </w:p>
        </w:tc>
        <w:tc>
          <w:tcPr>
            <w:tcW w:w="850" w:type="dxa"/>
            <w:shd w:val="clear" w:color="auto" w:fill="DEEAF6" w:themeFill="accent1" w:themeFillTint="33"/>
            <w:vAlign w:val="center"/>
          </w:tcPr>
          <w:p w:rsidR="003E63ED" w:rsidRDefault="006D57A7" w:rsidP="003E63ED">
            <w:pPr>
              <w:jc w:val="center"/>
            </w:pPr>
            <w:r>
              <w:t>60</w:t>
            </w:r>
          </w:p>
          <w:p w:rsidR="00860165" w:rsidRPr="00267D0B" w:rsidRDefault="00860165" w:rsidP="003E63ED">
            <w:pPr>
              <w:jc w:val="center"/>
            </w:pPr>
            <w:r>
              <w:t>(94%)</w:t>
            </w:r>
          </w:p>
        </w:tc>
        <w:tc>
          <w:tcPr>
            <w:tcW w:w="992" w:type="dxa"/>
            <w:shd w:val="clear" w:color="auto" w:fill="DEEAF6" w:themeFill="accent1" w:themeFillTint="33"/>
            <w:vAlign w:val="center"/>
          </w:tcPr>
          <w:p w:rsidR="003E63ED" w:rsidRDefault="006D57A7" w:rsidP="003E63ED">
            <w:pPr>
              <w:jc w:val="center"/>
            </w:pPr>
            <w:r>
              <w:t>4</w:t>
            </w:r>
          </w:p>
          <w:p w:rsidR="00860165" w:rsidRPr="00267D0B" w:rsidRDefault="00860165" w:rsidP="003E63ED">
            <w:pPr>
              <w:jc w:val="center"/>
            </w:pPr>
            <w:r>
              <w:t>(6%)</w:t>
            </w:r>
          </w:p>
        </w:tc>
        <w:tc>
          <w:tcPr>
            <w:tcW w:w="709" w:type="dxa"/>
            <w:shd w:val="clear" w:color="auto" w:fill="FFF2CC" w:themeFill="accent4" w:themeFillTint="33"/>
            <w:vAlign w:val="center"/>
          </w:tcPr>
          <w:p w:rsidR="003E63ED" w:rsidRPr="00267D0B" w:rsidRDefault="003E63ED" w:rsidP="003E63ED">
            <w:pPr>
              <w:jc w:val="center"/>
            </w:pPr>
            <w:r w:rsidRPr="00267D0B">
              <w:t>73</w:t>
            </w:r>
          </w:p>
        </w:tc>
        <w:tc>
          <w:tcPr>
            <w:tcW w:w="851" w:type="dxa"/>
            <w:shd w:val="clear" w:color="auto" w:fill="FFF2CC" w:themeFill="accent4" w:themeFillTint="33"/>
            <w:vAlign w:val="center"/>
          </w:tcPr>
          <w:p w:rsidR="003E63ED" w:rsidRPr="00267D0B" w:rsidRDefault="003E63ED" w:rsidP="003E63ED">
            <w:pPr>
              <w:jc w:val="center"/>
            </w:pPr>
            <w:r w:rsidRPr="00267D0B">
              <w:t>71 (97%)</w:t>
            </w:r>
          </w:p>
        </w:tc>
        <w:tc>
          <w:tcPr>
            <w:tcW w:w="992" w:type="dxa"/>
            <w:shd w:val="clear" w:color="auto" w:fill="FFF2CC" w:themeFill="accent4" w:themeFillTint="33"/>
            <w:vAlign w:val="center"/>
          </w:tcPr>
          <w:p w:rsidR="003E63ED" w:rsidRPr="00267D0B" w:rsidRDefault="003E63ED" w:rsidP="003E63ED">
            <w:pPr>
              <w:jc w:val="center"/>
            </w:pPr>
            <w:r w:rsidRPr="00267D0B">
              <w:t>2 (3%)</w:t>
            </w:r>
          </w:p>
        </w:tc>
        <w:tc>
          <w:tcPr>
            <w:tcW w:w="2551" w:type="dxa"/>
            <w:gridSpan w:val="3"/>
            <w:shd w:val="clear" w:color="auto" w:fill="FBE4D5" w:themeFill="accent2" w:themeFillTint="33"/>
            <w:vAlign w:val="center"/>
          </w:tcPr>
          <w:p w:rsidR="003E63ED" w:rsidRPr="00370683" w:rsidRDefault="003E63ED" w:rsidP="003E63ED">
            <w:pPr>
              <w:jc w:val="center"/>
              <w:rPr>
                <w:sz w:val="20"/>
                <w:szCs w:val="20"/>
              </w:rPr>
            </w:pPr>
            <w:r w:rsidRPr="00370683">
              <w:rPr>
                <w:sz w:val="20"/>
                <w:szCs w:val="20"/>
              </w:rPr>
              <w:t>Rilevazione non effettuata nel 2019</w:t>
            </w:r>
          </w:p>
        </w:tc>
      </w:tr>
      <w:tr w:rsidR="00E51592" w:rsidTr="00474ECF">
        <w:trPr>
          <w:trHeight w:val="620"/>
        </w:trPr>
        <w:tc>
          <w:tcPr>
            <w:tcW w:w="1980" w:type="dxa"/>
            <w:vAlign w:val="center"/>
          </w:tcPr>
          <w:p w:rsidR="003E63ED" w:rsidRPr="003E3045" w:rsidRDefault="003E63ED" w:rsidP="003E63ED">
            <w:pPr>
              <w:jc w:val="center"/>
              <w:rPr>
                <w:sz w:val="20"/>
                <w:szCs w:val="20"/>
              </w:rPr>
            </w:pPr>
            <w:r w:rsidRPr="003E3045">
              <w:rPr>
                <w:sz w:val="20"/>
                <w:szCs w:val="20"/>
              </w:rPr>
              <w:t>Procedure valutative legge 240/2010 - art. 18 e art. 24</w:t>
            </w:r>
          </w:p>
        </w:tc>
        <w:tc>
          <w:tcPr>
            <w:tcW w:w="709" w:type="dxa"/>
            <w:shd w:val="clear" w:color="auto" w:fill="DEEAF6" w:themeFill="accent1" w:themeFillTint="33"/>
            <w:vAlign w:val="center"/>
          </w:tcPr>
          <w:p w:rsidR="003E63ED" w:rsidRPr="00267D0B" w:rsidRDefault="006D57A7" w:rsidP="003E63ED">
            <w:pPr>
              <w:jc w:val="center"/>
            </w:pPr>
            <w:r>
              <w:t>46</w:t>
            </w:r>
          </w:p>
        </w:tc>
        <w:tc>
          <w:tcPr>
            <w:tcW w:w="850" w:type="dxa"/>
            <w:shd w:val="clear" w:color="auto" w:fill="DEEAF6" w:themeFill="accent1" w:themeFillTint="33"/>
            <w:vAlign w:val="center"/>
          </w:tcPr>
          <w:p w:rsidR="003E63ED" w:rsidRDefault="006D57A7" w:rsidP="003E63ED">
            <w:pPr>
              <w:jc w:val="center"/>
            </w:pPr>
            <w:r>
              <w:t>43</w:t>
            </w:r>
          </w:p>
          <w:p w:rsidR="00860165" w:rsidRPr="00267D0B" w:rsidRDefault="00860165" w:rsidP="003E63ED">
            <w:pPr>
              <w:jc w:val="center"/>
            </w:pPr>
            <w:r>
              <w:t>(93%)</w:t>
            </w:r>
          </w:p>
        </w:tc>
        <w:tc>
          <w:tcPr>
            <w:tcW w:w="992" w:type="dxa"/>
            <w:shd w:val="clear" w:color="auto" w:fill="DEEAF6" w:themeFill="accent1" w:themeFillTint="33"/>
            <w:vAlign w:val="center"/>
          </w:tcPr>
          <w:p w:rsidR="003E63ED" w:rsidRDefault="006D57A7" w:rsidP="003E63ED">
            <w:pPr>
              <w:jc w:val="center"/>
            </w:pPr>
            <w:r>
              <w:t xml:space="preserve"> 3</w:t>
            </w:r>
          </w:p>
          <w:p w:rsidR="00860165" w:rsidRPr="00267D0B" w:rsidRDefault="00860165" w:rsidP="003E63ED">
            <w:pPr>
              <w:jc w:val="center"/>
            </w:pPr>
            <w:r>
              <w:t>(7%)</w:t>
            </w:r>
          </w:p>
        </w:tc>
        <w:tc>
          <w:tcPr>
            <w:tcW w:w="709" w:type="dxa"/>
            <w:shd w:val="clear" w:color="auto" w:fill="FFF2CC" w:themeFill="accent4" w:themeFillTint="33"/>
            <w:vAlign w:val="center"/>
          </w:tcPr>
          <w:p w:rsidR="003E63ED" w:rsidRPr="00267D0B" w:rsidRDefault="003E63ED" w:rsidP="003E63ED">
            <w:pPr>
              <w:jc w:val="center"/>
            </w:pPr>
            <w:r w:rsidRPr="00267D0B">
              <w:t>24</w:t>
            </w:r>
          </w:p>
        </w:tc>
        <w:tc>
          <w:tcPr>
            <w:tcW w:w="851" w:type="dxa"/>
            <w:shd w:val="clear" w:color="auto" w:fill="FFF2CC" w:themeFill="accent4" w:themeFillTint="33"/>
            <w:vAlign w:val="center"/>
          </w:tcPr>
          <w:p w:rsidR="003E63ED" w:rsidRPr="00267D0B" w:rsidRDefault="003E63ED" w:rsidP="003E63ED">
            <w:pPr>
              <w:jc w:val="center"/>
            </w:pPr>
            <w:r w:rsidRPr="00267D0B">
              <w:t>24 (100%)</w:t>
            </w:r>
          </w:p>
        </w:tc>
        <w:tc>
          <w:tcPr>
            <w:tcW w:w="992" w:type="dxa"/>
            <w:shd w:val="clear" w:color="auto" w:fill="FFF2CC" w:themeFill="accent4" w:themeFillTint="33"/>
            <w:vAlign w:val="center"/>
          </w:tcPr>
          <w:p w:rsidR="003E63ED" w:rsidRPr="00267D0B" w:rsidRDefault="003E63ED" w:rsidP="003E63ED">
            <w:pPr>
              <w:jc w:val="center"/>
            </w:pPr>
            <w:proofErr w:type="gramStart"/>
            <w:r w:rsidRPr="00267D0B">
              <w:t>zero</w:t>
            </w:r>
            <w:proofErr w:type="gramEnd"/>
          </w:p>
        </w:tc>
        <w:tc>
          <w:tcPr>
            <w:tcW w:w="2551" w:type="dxa"/>
            <w:gridSpan w:val="3"/>
            <w:shd w:val="clear" w:color="auto" w:fill="FBE4D5" w:themeFill="accent2" w:themeFillTint="33"/>
            <w:vAlign w:val="center"/>
          </w:tcPr>
          <w:p w:rsidR="003E63ED" w:rsidRPr="00370683" w:rsidRDefault="003E63ED" w:rsidP="003E63ED">
            <w:pPr>
              <w:jc w:val="center"/>
              <w:rPr>
                <w:sz w:val="20"/>
                <w:szCs w:val="20"/>
              </w:rPr>
            </w:pPr>
            <w:r w:rsidRPr="00370683">
              <w:rPr>
                <w:sz w:val="20"/>
                <w:szCs w:val="20"/>
              </w:rPr>
              <w:t>Rilevazione non effettuata nel 2019</w:t>
            </w:r>
          </w:p>
        </w:tc>
      </w:tr>
    </w:tbl>
    <w:p w:rsidR="00682F19" w:rsidRDefault="00682F19" w:rsidP="00804459">
      <w:pPr>
        <w:spacing w:after="0"/>
      </w:pPr>
    </w:p>
    <w:p w:rsidR="00896281" w:rsidRPr="00550207" w:rsidRDefault="009D05CA" w:rsidP="00804459">
      <w:pPr>
        <w:spacing w:after="0"/>
        <w:rPr>
          <w:b/>
        </w:rPr>
      </w:pPr>
      <w:r w:rsidRPr="00550207">
        <w:rPr>
          <w:b/>
        </w:rPr>
        <w:t>d</w:t>
      </w:r>
      <w:r w:rsidR="00896281" w:rsidRPr="00550207">
        <w:rPr>
          <w:b/>
        </w:rPr>
        <w:t xml:space="preserve">) </w:t>
      </w:r>
      <w:r w:rsidR="00896281" w:rsidRPr="00550207">
        <w:rPr>
          <w:b/>
          <w:u w:val="single"/>
        </w:rPr>
        <w:t>La compilazione e validazione del Registro elettronico delle lezioni</w:t>
      </w:r>
      <w:r w:rsidR="00474ECF" w:rsidRPr="00550207">
        <w:rPr>
          <w:rStyle w:val="Rimandonotaapidipagina"/>
          <w:bCs/>
        </w:rPr>
        <w:footnoteReference w:id="8"/>
      </w:r>
    </w:p>
    <w:p w:rsidR="000C3064" w:rsidRPr="00550207" w:rsidRDefault="000C3064" w:rsidP="00B9543E">
      <w:pPr>
        <w:spacing w:after="0"/>
        <w:jc w:val="both"/>
        <w:rPr>
          <w:bCs/>
        </w:rPr>
      </w:pPr>
      <w:r w:rsidRPr="00550207">
        <w:rPr>
          <w:bCs/>
        </w:rPr>
        <w:t>La compilaz</w:t>
      </w:r>
      <w:r w:rsidR="00F14135" w:rsidRPr="00550207">
        <w:rPr>
          <w:bCs/>
        </w:rPr>
        <w:t>ione dei R</w:t>
      </w:r>
      <w:r w:rsidRPr="00550207">
        <w:rPr>
          <w:bCs/>
        </w:rPr>
        <w:t>egistri delle lezioni (insieme a quella</w:t>
      </w:r>
      <w:r w:rsidR="00F14135" w:rsidRPr="00550207">
        <w:rPr>
          <w:bCs/>
        </w:rPr>
        <w:t xml:space="preserve"> dei D</w:t>
      </w:r>
      <w:r w:rsidRPr="00550207">
        <w:rPr>
          <w:bCs/>
        </w:rPr>
        <w:t>iari delle attività</w:t>
      </w:r>
      <w:r w:rsidR="00F14135" w:rsidRPr="00550207">
        <w:rPr>
          <w:bCs/>
        </w:rPr>
        <w:t xml:space="preserve"> e dei </w:t>
      </w:r>
      <w:proofErr w:type="spellStart"/>
      <w:r w:rsidR="00F14135" w:rsidRPr="00550207">
        <w:rPr>
          <w:bCs/>
        </w:rPr>
        <w:t>S</w:t>
      </w:r>
      <w:r w:rsidRPr="00550207">
        <w:rPr>
          <w:bCs/>
        </w:rPr>
        <w:t>illaby</w:t>
      </w:r>
      <w:proofErr w:type="spellEnd"/>
      <w:r w:rsidRPr="00550207">
        <w:rPr>
          <w:bCs/>
        </w:rPr>
        <w:t>) è un preciso adempimento dell'attività didattica de</w:t>
      </w:r>
      <w:r w:rsidR="00EE3421" w:rsidRPr="00550207">
        <w:rPr>
          <w:bCs/>
        </w:rPr>
        <w:t>i docenti. Anche durante il 2021</w:t>
      </w:r>
      <w:r w:rsidRPr="00550207">
        <w:rPr>
          <w:bCs/>
        </w:rPr>
        <w:t>, l’Ufficio personale docente si è adoperato per sens</w:t>
      </w:r>
      <w:r w:rsidR="00774A79" w:rsidRPr="00550207">
        <w:rPr>
          <w:bCs/>
        </w:rPr>
        <w:t xml:space="preserve">ibilizzare il personale </w:t>
      </w:r>
      <w:r w:rsidRPr="00550207">
        <w:rPr>
          <w:bCs/>
        </w:rPr>
        <w:t>alla loro compilazione.</w:t>
      </w:r>
      <w:r w:rsidRPr="00550207">
        <w:rPr>
          <w:b/>
          <w:bCs/>
        </w:rPr>
        <w:t xml:space="preserve"> </w:t>
      </w:r>
    </w:p>
    <w:p w:rsidR="00474ECF" w:rsidRPr="00246BA9" w:rsidRDefault="00896281" w:rsidP="00B9543E">
      <w:pPr>
        <w:spacing w:after="0"/>
        <w:jc w:val="both"/>
        <w:rPr>
          <w:bCs/>
        </w:rPr>
      </w:pPr>
      <w:r w:rsidRPr="00550207">
        <w:rPr>
          <w:bCs/>
        </w:rPr>
        <w:t xml:space="preserve">Dal </w:t>
      </w:r>
      <w:r w:rsidR="00AD6FE6" w:rsidRPr="00550207">
        <w:rPr>
          <w:bCs/>
        </w:rPr>
        <w:t xml:space="preserve">monitoraggio </w:t>
      </w:r>
      <w:r w:rsidR="00A721B0" w:rsidRPr="00550207">
        <w:rPr>
          <w:bCs/>
        </w:rPr>
        <w:t>si conferma</w:t>
      </w:r>
      <w:r w:rsidR="00B9543E" w:rsidRPr="00550207">
        <w:rPr>
          <w:bCs/>
        </w:rPr>
        <w:t xml:space="preserve"> un andamento costante n</w:t>
      </w:r>
      <w:r w:rsidR="00AD6FE6" w:rsidRPr="00550207">
        <w:rPr>
          <w:bCs/>
        </w:rPr>
        <w:t>ell’attenzione</w:t>
      </w:r>
      <w:r w:rsidR="00B9543E" w:rsidRPr="00550207">
        <w:rPr>
          <w:bCs/>
        </w:rPr>
        <w:t xml:space="preserve"> che il personale docente pone</w:t>
      </w:r>
      <w:r w:rsidR="00AD6FE6" w:rsidRPr="00550207">
        <w:rPr>
          <w:bCs/>
        </w:rPr>
        <w:t xml:space="preserve"> alla corretta </w:t>
      </w:r>
      <w:r w:rsidR="00A721B0" w:rsidRPr="00550207">
        <w:rPr>
          <w:bCs/>
        </w:rPr>
        <w:t>tenuta dei registri didattic</w:t>
      </w:r>
      <w:r w:rsidR="00B9543E" w:rsidRPr="00550207">
        <w:rPr>
          <w:bCs/>
        </w:rPr>
        <w:t>i: più del 50% dei registri hanno concluso l’ter di validazione, il 5% è stato completato ed in attesa dell’approvazione del Direttore di dipartimento ed una piccola percentuale è in fase di compilazione (2 – 3 %). Circa un terzo dei registri è in una prima fase di bozza. Persiste uno “zoccolo duro”</w:t>
      </w:r>
      <w:r w:rsidR="00246BA9">
        <w:rPr>
          <w:bCs/>
        </w:rPr>
        <w:t xml:space="preserve"> </w:t>
      </w:r>
      <w:r w:rsidR="00B9543E" w:rsidRPr="00550207">
        <w:rPr>
          <w:bCs/>
        </w:rPr>
        <w:t>(circa il 5 – 6 % dei registri) che non vengono compilati.</w:t>
      </w:r>
    </w:p>
    <w:tbl>
      <w:tblPr>
        <w:tblStyle w:val="Grigliatabella"/>
        <w:tblW w:w="9209" w:type="dxa"/>
        <w:tblLayout w:type="fixed"/>
        <w:tblLook w:val="04A0" w:firstRow="1" w:lastRow="0" w:firstColumn="1" w:lastColumn="0" w:noHBand="0" w:noVBand="1"/>
      </w:tblPr>
      <w:tblGrid>
        <w:gridCol w:w="3539"/>
        <w:gridCol w:w="1134"/>
        <w:gridCol w:w="1134"/>
        <w:gridCol w:w="1134"/>
        <w:gridCol w:w="1134"/>
        <w:gridCol w:w="1134"/>
      </w:tblGrid>
      <w:tr w:rsidR="003E3045" w:rsidTr="003E3045">
        <w:trPr>
          <w:trHeight w:val="544"/>
        </w:trPr>
        <w:tc>
          <w:tcPr>
            <w:tcW w:w="9209" w:type="dxa"/>
            <w:gridSpan w:val="6"/>
            <w:vAlign w:val="center"/>
          </w:tcPr>
          <w:p w:rsidR="003E3045" w:rsidRPr="00552CA0" w:rsidRDefault="003E3045" w:rsidP="003E3045">
            <w:pPr>
              <w:jc w:val="center"/>
              <w:rPr>
                <w:b/>
              </w:rPr>
            </w:pPr>
            <w:r>
              <w:rPr>
                <w:b/>
              </w:rPr>
              <w:lastRenderedPageBreak/>
              <w:t xml:space="preserve">Compilazione </w:t>
            </w:r>
            <w:r w:rsidRPr="00552CA0">
              <w:rPr>
                <w:b/>
              </w:rPr>
              <w:t xml:space="preserve">Registri </w:t>
            </w:r>
            <w:r>
              <w:rPr>
                <w:b/>
              </w:rPr>
              <w:t xml:space="preserve">delle </w:t>
            </w:r>
            <w:r w:rsidRPr="00552CA0">
              <w:rPr>
                <w:b/>
              </w:rPr>
              <w:t>lezioni</w:t>
            </w:r>
            <w:r>
              <w:rPr>
                <w:rStyle w:val="Rimandonotaapidipagina"/>
                <w:b/>
              </w:rPr>
              <w:footnoteReference w:id="9"/>
            </w:r>
            <w:r>
              <w:rPr>
                <w:b/>
              </w:rPr>
              <w:t xml:space="preserve"> (corsi di laurea e scuole di </w:t>
            </w:r>
            <w:r w:rsidRPr="008977D9">
              <w:rPr>
                <w:b/>
              </w:rPr>
              <w:t>specializzazione</w:t>
            </w:r>
            <w:r>
              <w:rPr>
                <w:b/>
              </w:rPr>
              <w:t>)</w:t>
            </w:r>
          </w:p>
        </w:tc>
      </w:tr>
      <w:tr w:rsidR="0064512E" w:rsidTr="003E3045">
        <w:tc>
          <w:tcPr>
            <w:tcW w:w="3539" w:type="dxa"/>
            <w:vAlign w:val="center"/>
          </w:tcPr>
          <w:p w:rsidR="0064512E" w:rsidRPr="006A3924" w:rsidRDefault="0064512E" w:rsidP="003E3045">
            <w:pPr>
              <w:jc w:val="center"/>
              <w:rPr>
                <w:b/>
                <w:color w:val="C00000"/>
              </w:rPr>
            </w:pPr>
            <w:r w:rsidRPr="006A3924">
              <w:rPr>
                <w:b/>
              </w:rPr>
              <w:t>Status registro</w:t>
            </w:r>
            <w:r>
              <w:rPr>
                <w:rStyle w:val="Rimandonotaapidipagina"/>
                <w:b/>
              </w:rPr>
              <w:footnoteReference w:id="10"/>
            </w:r>
          </w:p>
        </w:tc>
        <w:tc>
          <w:tcPr>
            <w:tcW w:w="1134" w:type="dxa"/>
          </w:tcPr>
          <w:p w:rsidR="0064512E" w:rsidRDefault="0064512E" w:rsidP="00C46245">
            <w:pPr>
              <w:jc w:val="center"/>
              <w:rPr>
                <w:b/>
                <w:sz w:val="20"/>
                <w:szCs w:val="20"/>
              </w:rPr>
            </w:pPr>
            <w:r>
              <w:rPr>
                <w:b/>
                <w:sz w:val="20"/>
                <w:szCs w:val="20"/>
              </w:rPr>
              <w:t>AA</w:t>
            </w:r>
          </w:p>
          <w:p w:rsidR="0064512E" w:rsidRPr="006A3924" w:rsidRDefault="0064512E" w:rsidP="00C46245">
            <w:pPr>
              <w:jc w:val="center"/>
              <w:rPr>
                <w:b/>
                <w:sz w:val="20"/>
                <w:szCs w:val="20"/>
              </w:rPr>
            </w:pPr>
            <w:r>
              <w:rPr>
                <w:b/>
                <w:sz w:val="20"/>
                <w:szCs w:val="20"/>
              </w:rPr>
              <w:t>2019/2020</w:t>
            </w:r>
          </w:p>
        </w:tc>
        <w:tc>
          <w:tcPr>
            <w:tcW w:w="1134" w:type="dxa"/>
          </w:tcPr>
          <w:p w:rsidR="0064512E" w:rsidRPr="006A3924" w:rsidRDefault="0064512E" w:rsidP="00C46245">
            <w:pPr>
              <w:jc w:val="center"/>
              <w:rPr>
                <w:b/>
                <w:sz w:val="20"/>
                <w:szCs w:val="20"/>
              </w:rPr>
            </w:pPr>
            <w:r w:rsidRPr="006A3924">
              <w:rPr>
                <w:b/>
                <w:sz w:val="20"/>
                <w:szCs w:val="20"/>
              </w:rPr>
              <w:t>AA 2018/2019</w:t>
            </w:r>
          </w:p>
        </w:tc>
        <w:tc>
          <w:tcPr>
            <w:tcW w:w="1134" w:type="dxa"/>
          </w:tcPr>
          <w:p w:rsidR="0064512E" w:rsidRPr="006A3924" w:rsidRDefault="0064512E" w:rsidP="00C46245">
            <w:pPr>
              <w:jc w:val="center"/>
              <w:rPr>
                <w:b/>
                <w:sz w:val="20"/>
                <w:szCs w:val="20"/>
              </w:rPr>
            </w:pPr>
            <w:r w:rsidRPr="006A3924">
              <w:rPr>
                <w:b/>
                <w:sz w:val="20"/>
                <w:szCs w:val="20"/>
              </w:rPr>
              <w:t>AA 2017/2018</w:t>
            </w:r>
          </w:p>
        </w:tc>
        <w:tc>
          <w:tcPr>
            <w:tcW w:w="1134" w:type="dxa"/>
          </w:tcPr>
          <w:p w:rsidR="0064512E" w:rsidRPr="006A3924" w:rsidRDefault="0064512E" w:rsidP="00C46245">
            <w:pPr>
              <w:jc w:val="center"/>
              <w:rPr>
                <w:b/>
                <w:sz w:val="20"/>
                <w:szCs w:val="20"/>
              </w:rPr>
            </w:pPr>
            <w:r w:rsidRPr="006A3924">
              <w:rPr>
                <w:b/>
                <w:sz w:val="20"/>
                <w:szCs w:val="20"/>
              </w:rPr>
              <w:t>AA 2016/2017</w:t>
            </w:r>
          </w:p>
        </w:tc>
        <w:tc>
          <w:tcPr>
            <w:tcW w:w="1134" w:type="dxa"/>
          </w:tcPr>
          <w:p w:rsidR="0064512E" w:rsidRPr="006A3924" w:rsidRDefault="0064512E" w:rsidP="00C46245">
            <w:pPr>
              <w:jc w:val="center"/>
              <w:rPr>
                <w:b/>
                <w:sz w:val="20"/>
                <w:szCs w:val="20"/>
              </w:rPr>
            </w:pPr>
            <w:r w:rsidRPr="006A3924">
              <w:rPr>
                <w:b/>
                <w:sz w:val="20"/>
                <w:szCs w:val="20"/>
              </w:rPr>
              <w:t>AA 2015/2016</w:t>
            </w:r>
          </w:p>
        </w:tc>
      </w:tr>
      <w:tr w:rsidR="0064512E" w:rsidTr="003E3045">
        <w:trPr>
          <w:trHeight w:val="357"/>
        </w:trPr>
        <w:tc>
          <w:tcPr>
            <w:tcW w:w="3539" w:type="dxa"/>
            <w:shd w:val="clear" w:color="auto" w:fill="DEEAF6" w:themeFill="accent1" w:themeFillTint="33"/>
            <w:vAlign w:val="center"/>
          </w:tcPr>
          <w:p w:rsidR="0064512E" w:rsidRPr="006A3924" w:rsidRDefault="006E3BD7" w:rsidP="003E3045">
            <w:r>
              <w:t xml:space="preserve">(A) </w:t>
            </w:r>
            <w:r w:rsidR="0064512E" w:rsidRPr="006A3924">
              <w:t>Approvato</w:t>
            </w:r>
          </w:p>
        </w:tc>
        <w:tc>
          <w:tcPr>
            <w:tcW w:w="1134" w:type="dxa"/>
            <w:vAlign w:val="center"/>
          </w:tcPr>
          <w:p w:rsidR="0064512E" w:rsidRPr="006A3924" w:rsidRDefault="00393F59" w:rsidP="003E3045">
            <w:pPr>
              <w:jc w:val="center"/>
            </w:pPr>
            <w:r>
              <w:t>54</w:t>
            </w:r>
            <w:r w:rsidR="002F0E36">
              <w:t>%</w:t>
            </w:r>
          </w:p>
        </w:tc>
        <w:tc>
          <w:tcPr>
            <w:tcW w:w="1134" w:type="dxa"/>
            <w:vAlign w:val="center"/>
          </w:tcPr>
          <w:p w:rsidR="0064512E" w:rsidRPr="006A3924" w:rsidRDefault="0064512E" w:rsidP="003E3045">
            <w:pPr>
              <w:jc w:val="center"/>
            </w:pPr>
            <w:r w:rsidRPr="006A3924">
              <w:t>57%</w:t>
            </w:r>
          </w:p>
        </w:tc>
        <w:tc>
          <w:tcPr>
            <w:tcW w:w="1134" w:type="dxa"/>
            <w:vAlign w:val="center"/>
          </w:tcPr>
          <w:p w:rsidR="0064512E" w:rsidRPr="006A3924" w:rsidRDefault="0064512E" w:rsidP="003E3045">
            <w:pPr>
              <w:jc w:val="center"/>
            </w:pPr>
            <w:r w:rsidRPr="006A3924">
              <w:t>51%</w:t>
            </w:r>
          </w:p>
        </w:tc>
        <w:tc>
          <w:tcPr>
            <w:tcW w:w="1134" w:type="dxa"/>
            <w:vAlign w:val="center"/>
          </w:tcPr>
          <w:p w:rsidR="0064512E" w:rsidRPr="006A3924" w:rsidRDefault="0064512E" w:rsidP="003E3045">
            <w:pPr>
              <w:jc w:val="center"/>
            </w:pPr>
            <w:r w:rsidRPr="006A3924">
              <w:t>53%</w:t>
            </w:r>
          </w:p>
        </w:tc>
        <w:tc>
          <w:tcPr>
            <w:tcW w:w="1134" w:type="dxa"/>
            <w:vAlign w:val="center"/>
          </w:tcPr>
          <w:p w:rsidR="0064512E" w:rsidRPr="006A3924" w:rsidRDefault="0064512E" w:rsidP="003E3045">
            <w:pPr>
              <w:jc w:val="center"/>
            </w:pPr>
            <w:r w:rsidRPr="006A3924">
              <w:t>47%</w:t>
            </w:r>
          </w:p>
        </w:tc>
      </w:tr>
      <w:tr w:rsidR="0064512E" w:rsidTr="003E3045">
        <w:tc>
          <w:tcPr>
            <w:tcW w:w="3539" w:type="dxa"/>
            <w:shd w:val="clear" w:color="auto" w:fill="F7CAAC" w:themeFill="accent2" w:themeFillTint="66"/>
            <w:vAlign w:val="center"/>
          </w:tcPr>
          <w:p w:rsidR="0064512E" w:rsidRPr="006A3924" w:rsidRDefault="006E3BD7" w:rsidP="003E3045">
            <w:r>
              <w:t>(S) Compilato</w:t>
            </w:r>
            <w:r w:rsidR="0064512E" w:rsidRPr="006A3924">
              <w:t xml:space="preserve"> </w:t>
            </w:r>
            <w:r>
              <w:t xml:space="preserve">e </w:t>
            </w:r>
            <w:r w:rsidR="0064512E" w:rsidRPr="006A3924">
              <w:t>in attesa</w:t>
            </w:r>
            <w:r w:rsidR="0064512E">
              <w:t xml:space="preserve"> di approvazione</w:t>
            </w:r>
          </w:p>
        </w:tc>
        <w:tc>
          <w:tcPr>
            <w:tcW w:w="1134" w:type="dxa"/>
            <w:vAlign w:val="center"/>
          </w:tcPr>
          <w:p w:rsidR="0064512E" w:rsidRPr="006A3924" w:rsidRDefault="00393F59" w:rsidP="003E3045">
            <w:pPr>
              <w:jc w:val="center"/>
            </w:pPr>
            <w:r>
              <w:t>5</w:t>
            </w:r>
            <w:r w:rsidR="002F0E36">
              <w:t>%</w:t>
            </w:r>
          </w:p>
        </w:tc>
        <w:tc>
          <w:tcPr>
            <w:tcW w:w="1134" w:type="dxa"/>
            <w:vAlign w:val="center"/>
          </w:tcPr>
          <w:p w:rsidR="0064512E" w:rsidRPr="006A3924" w:rsidRDefault="0064512E" w:rsidP="003E3045">
            <w:pPr>
              <w:jc w:val="center"/>
            </w:pPr>
            <w:r w:rsidRPr="006A3924">
              <w:t>5%</w:t>
            </w:r>
          </w:p>
        </w:tc>
        <w:tc>
          <w:tcPr>
            <w:tcW w:w="1134" w:type="dxa"/>
            <w:vAlign w:val="center"/>
          </w:tcPr>
          <w:p w:rsidR="0064512E" w:rsidRPr="006A3924" w:rsidRDefault="0064512E" w:rsidP="003E3045">
            <w:pPr>
              <w:jc w:val="center"/>
            </w:pPr>
            <w:r w:rsidRPr="006A3924">
              <w:t>2%</w:t>
            </w:r>
          </w:p>
        </w:tc>
        <w:tc>
          <w:tcPr>
            <w:tcW w:w="1134" w:type="dxa"/>
            <w:vAlign w:val="center"/>
          </w:tcPr>
          <w:p w:rsidR="0064512E" w:rsidRPr="006A3924" w:rsidRDefault="0064512E" w:rsidP="003E3045">
            <w:pPr>
              <w:jc w:val="center"/>
            </w:pPr>
            <w:r w:rsidRPr="006A3924">
              <w:t>4%</w:t>
            </w:r>
          </w:p>
        </w:tc>
        <w:tc>
          <w:tcPr>
            <w:tcW w:w="1134" w:type="dxa"/>
            <w:vAlign w:val="center"/>
          </w:tcPr>
          <w:p w:rsidR="0064512E" w:rsidRPr="006A3924" w:rsidRDefault="0064512E" w:rsidP="003E3045">
            <w:pPr>
              <w:jc w:val="center"/>
            </w:pPr>
            <w:r w:rsidRPr="006A3924">
              <w:t>3%</w:t>
            </w:r>
          </w:p>
        </w:tc>
      </w:tr>
      <w:tr w:rsidR="0064512E" w:rsidTr="003E3045">
        <w:tc>
          <w:tcPr>
            <w:tcW w:w="3539" w:type="dxa"/>
            <w:shd w:val="clear" w:color="auto" w:fill="FFF2CC" w:themeFill="accent4" w:themeFillTint="33"/>
            <w:vAlign w:val="center"/>
          </w:tcPr>
          <w:p w:rsidR="0064512E" w:rsidRPr="006A3924" w:rsidRDefault="006E3BD7" w:rsidP="003E3045">
            <w:r>
              <w:t xml:space="preserve">(V) </w:t>
            </w:r>
            <w:r w:rsidR="0064512E" w:rsidRPr="006A3924">
              <w:t xml:space="preserve">Compilato parzialmente </w:t>
            </w:r>
            <w:r w:rsidR="0064512E">
              <w:t>–</w:t>
            </w:r>
            <w:r w:rsidR="0064512E" w:rsidRPr="006A3924">
              <w:t xml:space="preserve"> </w:t>
            </w:r>
            <w:r w:rsidR="0064512E">
              <w:t>da verificare</w:t>
            </w:r>
          </w:p>
        </w:tc>
        <w:tc>
          <w:tcPr>
            <w:tcW w:w="1134" w:type="dxa"/>
            <w:vAlign w:val="center"/>
          </w:tcPr>
          <w:p w:rsidR="0064512E" w:rsidRPr="006A3924" w:rsidRDefault="002F0E36" w:rsidP="003E3045">
            <w:pPr>
              <w:jc w:val="center"/>
            </w:pPr>
            <w:r>
              <w:t>3%</w:t>
            </w:r>
          </w:p>
        </w:tc>
        <w:tc>
          <w:tcPr>
            <w:tcW w:w="1134" w:type="dxa"/>
            <w:vAlign w:val="center"/>
          </w:tcPr>
          <w:p w:rsidR="0064512E" w:rsidRPr="006A3924" w:rsidRDefault="0064512E" w:rsidP="003E3045">
            <w:pPr>
              <w:jc w:val="center"/>
            </w:pPr>
            <w:r w:rsidRPr="006A3924">
              <w:t>2%</w:t>
            </w:r>
          </w:p>
        </w:tc>
        <w:tc>
          <w:tcPr>
            <w:tcW w:w="1134" w:type="dxa"/>
            <w:vAlign w:val="center"/>
          </w:tcPr>
          <w:p w:rsidR="0064512E" w:rsidRPr="006A3924" w:rsidRDefault="0064512E" w:rsidP="003E3045">
            <w:pPr>
              <w:jc w:val="center"/>
            </w:pPr>
            <w:r w:rsidRPr="006A3924">
              <w:t>6%</w:t>
            </w:r>
          </w:p>
        </w:tc>
        <w:tc>
          <w:tcPr>
            <w:tcW w:w="1134" w:type="dxa"/>
            <w:vAlign w:val="center"/>
          </w:tcPr>
          <w:p w:rsidR="0064512E" w:rsidRPr="006A3924" w:rsidRDefault="0064512E" w:rsidP="003E3045">
            <w:pPr>
              <w:jc w:val="center"/>
            </w:pPr>
            <w:r w:rsidRPr="006A3924">
              <w:t>4%</w:t>
            </w:r>
          </w:p>
        </w:tc>
        <w:tc>
          <w:tcPr>
            <w:tcW w:w="1134" w:type="dxa"/>
            <w:vAlign w:val="center"/>
          </w:tcPr>
          <w:p w:rsidR="0064512E" w:rsidRPr="006A3924" w:rsidRDefault="0064512E" w:rsidP="003E3045">
            <w:pPr>
              <w:jc w:val="center"/>
            </w:pPr>
            <w:r w:rsidRPr="006A3924">
              <w:t>3%</w:t>
            </w:r>
          </w:p>
        </w:tc>
      </w:tr>
      <w:tr w:rsidR="0064512E" w:rsidTr="003E3045">
        <w:trPr>
          <w:trHeight w:val="435"/>
        </w:trPr>
        <w:tc>
          <w:tcPr>
            <w:tcW w:w="3539" w:type="dxa"/>
            <w:shd w:val="clear" w:color="auto" w:fill="C5E0B3" w:themeFill="accent6" w:themeFillTint="66"/>
            <w:vAlign w:val="center"/>
          </w:tcPr>
          <w:p w:rsidR="0064512E" w:rsidRPr="006A3924" w:rsidRDefault="006E3BD7" w:rsidP="003E3045">
            <w:r>
              <w:t xml:space="preserve">(B) </w:t>
            </w:r>
            <w:r w:rsidR="0064512E" w:rsidRPr="006A3924">
              <w:t>Compilato parzialmente –</w:t>
            </w:r>
            <w:r w:rsidR="0064512E">
              <w:t xml:space="preserve"> </w:t>
            </w:r>
            <w:r w:rsidR="0064512E" w:rsidRPr="006A3924">
              <w:t>bozza</w:t>
            </w:r>
          </w:p>
        </w:tc>
        <w:tc>
          <w:tcPr>
            <w:tcW w:w="1134" w:type="dxa"/>
            <w:vAlign w:val="center"/>
          </w:tcPr>
          <w:p w:rsidR="0064512E" w:rsidRPr="006A3924" w:rsidRDefault="00393F59" w:rsidP="003E3045">
            <w:pPr>
              <w:jc w:val="center"/>
            </w:pPr>
            <w:r>
              <w:t>32</w:t>
            </w:r>
            <w:r w:rsidR="002F0E36">
              <w:t>%</w:t>
            </w:r>
          </w:p>
        </w:tc>
        <w:tc>
          <w:tcPr>
            <w:tcW w:w="1134" w:type="dxa"/>
            <w:vAlign w:val="center"/>
          </w:tcPr>
          <w:p w:rsidR="0064512E" w:rsidRPr="006A3924" w:rsidRDefault="0064512E" w:rsidP="003E3045">
            <w:pPr>
              <w:jc w:val="center"/>
            </w:pPr>
            <w:r w:rsidRPr="006A3924">
              <w:t>31%</w:t>
            </w:r>
          </w:p>
        </w:tc>
        <w:tc>
          <w:tcPr>
            <w:tcW w:w="1134" w:type="dxa"/>
            <w:vAlign w:val="center"/>
          </w:tcPr>
          <w:p w:rsidR="0064512E" w:rsidRPr="006A3924" w:rsidRDefault="0064512E" w:rsidP="003E3045">
            <w:pPr>
              <w:jc w:val="center"/>
            </w:pPr>
            <w:r w:rsidRPr="006A3924">
              <w:t>34%</w:t>
            </w:r>
          </w:p>
        </w:tc>
        <w:tc>
          <w:tcPr>
            <w:tcW w:w="1134" w:type="dxa"/>
            <w:vAlign w:val="center"/>
          </w:tcPr>
          <w:p w:rsidR="0064512E" w:rsidRPr="006A3924" w:rsidRDefault="0064512E" w:rsidP="003E3045">
            <w:pPr>
              <w:jc w:val="center"/>
            </w:pPr>
            <w:r w:rsidRPr="006A3924">
              <w:t>33%</w:t>
            </w:r>
          </w:p>
        </w:tc>
        <w:tc>
          <w:tcPr>
            <w:tcW w:w="1134" w:type="dxa"/>
            <w:vAlign w:val="center"/>
          </w:tcPr>
          <w:p w:rsidR="0064512E" w:rsidRPr="006A3924" w:rsidRDefault="0064512E" w:rsidP="003E3045">
            <w:pPr>
              <w:jc w:val="center"/>
            </w:pPr>
            <w:r w:rsidRPr="006A3924">
              <w:t>42%</w:t>
            </w:r>
          </w:p>
        </w:tc>
      </w:tr>
      <w:tr w:rsidR="0064512E" w:rsidTr="003E3045">
        <w:trPr>
          <w:trHeight w:val="425"/>
        </w:trPr>
        <w:tc>
          <w:tcPr>
            <w:tcW w:w="3539" w:type="dxa"/>
            <w:shd w:val="clear" w:color="auto" w:fill="F2F2F2" w:themeFill="background1" w:themeFillShade="F2"/>
            <w:vAlign w:val="center"/>
          </w:tcPr>
          <w:p w:rsidR="0064512E" w:rsidRPr="006A3924" w:rsidRDefault="0064512E" w:rsidP="003E3045">
            <w:r w:rsidRPr="006A3924">
              <w:t>Non compilato (Mai aperto)</w:t>
            </w:r>
          </w:p>
        </w:tc>
        <w:tc>
          <w:tcPr>
            <w:tcW w:w="1134" w:type="dxa"/>
            <w:vAlign w:val="center"/>
          </w:tcPr>
          <w:p w:rsidR="0064512E" w:rsidRPr="006A3924" w:rsidRDefault="00393F59" w:rsidP="003E3045">
            <w:pPr>
              <w:jc w:val="center"/>
            </w:pPr>
            <w:r>
              <w:t>6</w:t>
            </w:r>
            <w:r w:rsidR="002F0E36">
              <w:t>%</w:t>
            </w:r>
          </w:p>
        </w:tc>
        <w:tc>
          <w:tcPr>
            <w:tcW w:w="1134" w:type="dxa"/>
            <w:vAlign w:val="center"/>
          </w:tcPr>
          <w:p w:rsidR="0064512E" w:rsidRPr="006A3924" w:rsidRDefault="0064512E" w:rsidP="003E3045">
            <w:pPr>
              <w:jc w:val="center"/>
            </w:pPr>
            <w:r w:rsidRPr="006A3924">
              <w:t>5%</w:t>
            </w:r>
          </w:p>
        </w:tc>
        <w:tc>
          <w:tcPr>
            <w:tcW w:w="1134" w:type="dxa"/>
            <w:vAlign w:val="center"/>
          </w:tcPr>
          <w:p w:rsidR="0064512E" w:rsidRPr="006A3924" w:rsidRDefault="0064512E" w:rsidP="003E3045">
            <w:pPr>
              <w:jc w:val="center"/>
            </w:pPr>
            <w:r w:rsidRPr="006A3924">
              <w:t>7%</w:t>
            </w:r>
          </w:p>
        </w:tc>
        <w:tc>
          <w:tcPr>
            <w:tcW w:w="1134" w:type="dxa"/>
            <w:vAlign w:val="center"/>
          </w:tcPr>
          <w:p w:rsidR="0064512E" w:rsidRPr="006A3924" w:rsidRDefault="0064512E" w:rsidP="003E3045">
            <w:pPr>
              <w:jc w:val="center"/>
            </w:pPr>
            <w:r w:rsidRPr="006A3924">
              <w:t>6%</w:t>
            </w:r>
          </w:p>
        </w:tc>
        <w:tc>
          <w:tcPr>
            <w:tcW w:w="1134" w:type="dxa"/>
            <w:vAlign w:val="center"/>
          </w:tcPr>
          <w:p w:rsidR="0064512E" w:rsidRPr="006A3924" w:rsidRDefault="0064512E" w:rsidP="003E3045">
            <w:pPr>
              <w:jc w:val="center"/>
            </w:pPr>
            <w:r w:rsidRPr="006A3924">
              <w:t>5%</w:t>
            </w:r>
          </w:p>
        </w:tc>
      </w:tr>
    </w:tbl>
    <w:p w:rsidR="00B25CAB" w:rsidRDefault="00B25CAB" w:rsidP="00B25CAB">
      <w:pPr>
        <w:spacing w:after="0"/>
        <w:rPr>
          <w:bCs/>
          <w:color w:val="C00000"/>
        </w:rPr>
      </w:pPr>
    </w:p>
    <w:p w:rsidR="00B25CAB" w:rsidRPr="004B38B4" w:rsidRDefault="00A240D5" w:rsidP="00B25CAB">
      <w:pPr>
        <w:spacing w:after="0"/>
        <w:jc w:val="both"/>
        <w:rPr>
          <w:bCs/>
        </w:rPr>
      </w:pPr>
      <w:r w:rsidRPr="004B38B4">
        <w:rPr>
          <w:bCs/>
        </w:rPr>
        <w:t>Si conferma</w:t>
      </w:r>
      <w:r w:rsidR="00B9543E" w:rsidRPr="004B38B4">
        <w:rPr>
          <w:bCs/>
        </w:rPr>
        <w:t xml:space="preserve">, anche </w:t>
      </w:r>
      <w:r w:rsidR="004B38B4" w:rsidRPr="004B38B4">
        <w:rPr>
          <w:bCs/>
        </w:rPr>
        <w:t>nell</w:t>
      </w:r>
      <w:r w:rsidR="00B9543E" w:rsidRPr="004B38B4">
        <w:rPr>
          <w:bCs/>
        </w:rPr>
        <w:t>’AA 2019/2020,</w:t>
      </w:r>
      <w:r w:rsidR="00B25CAB" w:rsidRPr="004B38B4">
        <w:rPr>
          <w:bCs/>
        </w:rPr>
        <w:t xml:space="preserve"> una realtà abbastanza differente tra l’attenzione </w:t>
      </w:r>
      <w:r w:rsidR="00A03844" w:rsidRPr="004B38B4">
        <w:rPr>
          <w:bCs/>
        </w:rPr>
        <w:t>che i docenti pongono alla compilazione dei</w:t>
      </w:r>
      <w:r w:rsidR="00B25CAB" w:rsidRPr="004B38B4">
        <w:rPr>
          <w:bCs/>
        </w:rPr>
        <w:t xml:space="preserve"> registri delle lezioni d</w:t>
      </w:r>
      <w:r w:rsidR="00774A79" w:rsidRPr="004B38B4">
        <w:rPr>
          <w:bCs/>
        </w:rPr>
        <w:t>ei corsi di laurea</w:t>
      </w:r>
      <w:r w:rsidR="00A03844" w:rsidRPr="004B38B4">
        <w:rPr>
          <w:bCs/>
        </w:rPr>
        <w:t>, rispetto a quella</w:t>
      </w:r>
      <w:r w:rsidR="00774A79" w:rsidRPr="004B38B4">
        <w:rPr>
          <w:bCs/>
        </w:rPr>
        <w:t xml:space="preserve"> per </w:t>
      </w:r>
      <w:r w:rsidR="00A03844" w:rsidRPr="004B38B4">
        <w:rPr>
          <w:bCs/>
        </w:rPr>
        <w:t>i registri delle</w:t>
      </w:r>
      <w:r w:rsidR="00B25CAB" w:rsidRPr="004B38B4">
        <w:rPr>
          <w:bCs/>
        </w:rPr>
        <w:t xml:space="preserve"> lezioni delle scuole </w:t>
      </w:r>
      <w:r w:rsidR="00A03844" w:rsidRPr="004B38B4">
        <w:rPr>
          <w:bCs/>
        </w:rPr>
        <w:t>di specializzazione. Nello specifico:</w:t>
      </w:r>
    </w:p>
    <w:p w:rsidR="00332C9E" w:rsidRPr="004B38B4" w:rsidRDefault="009E7342" w:rsidP="009E7342">
      <w:pPr>
        <w:spacing w:after="0"/>
        <w:jc w:val="both"/>
        <w:rPr>
          <w:bCs/>
        </w:rPr>
      </w:pPr>
      <w:r w:rsidRPr="004B38B4">
        <w:rPr>
          <w:bCs/>
        </w:rPr>
        <w:t xml:space="preserve">▪ </w:t>
      </w:r>
      <w:r w:rsidR="005F7CC4" w:rsidRPr="004B38B4">
        <w:rPr>
          <w:bCs/>
        </w:rPr>
        <w:t>p</w:t>
      </w:r>
      <w:r w:rsidR="00811971" w:rsidRPr="004B38B4">
        <w:rPr>
          <w:bCs/>
        </w:rPr>
        <w:t>er i registri riguardanti gli insegnamenti nei corsi di laura emerge un’alta percentuale</w:t>
      </w:r>
      <w:r w:rsidR="004B38B4" w:rsidRPr="004B38B4">
        <w:rPr>
          <w:bCs/>
        </w:rPr>
        <w:t xml:space="preserve"> (più del 75</w:t>
      </w:r>
      <w:r w:rsidR="005F7CC4" w:rsidRPr="004B38B4">
        <w:rPr>
          <w:bCs/>
        </w:rPr>
        <w:t>%)</w:t>
      </w:r>
      <w:r w:rsidR="00811971" w:rsidRPr="004B38B4">
        <w:rPr>
          <w:bCs/>
        </w:rPr>
        <w:t xml:space="preserve"> di registri </w:t>
      </w:r>
      <w:r w:rsidR="00A03844" w:rsidRPr="004B38B4">
        <w:rPr>
          <w:bCs/>
        </w:rPr>
        <w:t xml:space="preserve">che </w:t>
      </w:r>
      <w:r w:rsidR="00D62A57" w:rsidRPr="004B38B4">
        <w:rPr>
          <w:bCs/>
        </w:rPr>
        <w:t>non presentano criticità in quanto sono già stati approvati (A)</w:t>
      </w:r>
      <w:r w:rsidR="00896726" w:rsidRPr="004B38B4">
        <w:rPr>
          <w:bCs/>
        </w:rPr>
        <w:t>,</w:t>
      </w:r>
      <w:r w:rsidR="00D62A57" w:rsidRPr="004B38B4">
        <w:rPr>
          <w:bCs/>
        </w:rPr>
        <w:t xml:space="preserve"> o sono pronti per esserlo (S</w:t>
      </w:r>
      <w:r w:rsidR="00251199" w:rsidRPr="004B38B4">
        <w:rPr>
          <w:bCs/>
        </w:rPr>
        <w:t>)</w:t>
      </w:r>
      <w:r w:rsidR="00811971" w:rsidRPr="004B38B4">
        <w:rPr>
          <w:bCs/>
        </w:rPr>
        <w:t>, oppure sono in una fase avanzata di compilazione</w:t>
      </w:r>
      <w:r w:rsidR="005F7CC4" w:rsidRPr="004B38B4">
        <w:rPr>
          <w:bCs/>
        </w:rPr>
        <w:t xml:space="preserve"> però il docente desidera effettuare un ulteriore controllo prima di proporli per l’approvazione (V). Possono considerarsi in una situazione di criticità, </w:t>
      </w:r>
      <w:r w:rsidR="004B38B4" w:rsidRPr="004B38B4">
        <w:rPr>
          <w:bCs/>
        </w:rPr>
        <w:t>in quanto in una</w:t>
      </w:r>
      <w:r w:rsidR="005F7CC4" w:rsidRPr="004B38B4">
        <w:rPr>
          <w:bCs/>
        </w:rPr>
        <w:t xml:space="preserve"> fase iniziale di compilazione (B) o non sono</w:t>
      </w:r>
      <w:r w:rsidR="004B38B4" w:rsidRPr="004B38B4">
        <w:rPr>
          <w:bCs/>
        </w:rPr>
        <w:t xml:space="preserve"> stati mai “aperti”, un po’ meno di un quarto (24</w:t>
      </w:r>
      <w:r w:rsidR="005F7CC4" w:rsidRPr="004B38B4">
        <w:rPr>
          <w:bCs/>
        </w:rPr>
        <w:t>%</w:t>
      </w:r>
      <w:r w:rsidR="004B38B4" w:rsidRPr="004B38B4">
        <w:rPr>
          <w:bCs/>
        </w:rPr>
        <w:t>)</w:t>
      </w:r>
      <w:r w:rsidR="005F7CC4" w:rsidRPr="004B38B4">
        <w:rPr>
          <w:bCs/>
        </w:rPr>
        <w:t xml:space="preserve"> dei registri;</w:t>
      </w:r>
      <w:r w:rsidR="00811971" w:rsidRPr="004B38B4">
        <w:rPr>
          <w:bCs/>
        </w:rPr>
        <w:t xml:space="preserve"> </w:t>
      </w:r>
    </w:p>
    <w:p w:rsidR="005D5422" w:rsidRPr="00FD1285" w:rsidRDefault="009E7342" w:rsidP="004B38B4">
      <w:pPr>
        <w:spacing w:after="0"/>
        <w:jc w:val="both"/>
        <w:rPr>
          <w:bCs/>
        </w:rPr>
      </w:pPr>
      <w:r w:rsidRPr="00FD1285">
        <w:rPr>
          <w:bCs/>
        </w:rPr>
        <w:t xml:space="preserve">▪ </w:t>
      </w:r>
      <w:r w:rsidR="005F7CC4" w:rsidRPr="00FD1285">
        <w:rPr>
          <w:bCs/>
        </w:rPr>
        <w:t>p</w:t>
      </w:r>
      <w:r w:rsidR="00251199" w:rsidRPr="00FD1285">
        <w:rPr>
          <w:bCs/>
        </w:rPr>
        <w:t>er i r</w:t>
      </w:r>
      <w:r w:rsidR="00B25CAB" w:rsidRPr="00FD1285">
        <w:rPr>
          <w:bCs/>
        </w:rPr>
        <w:t>egistri delle scuole di specializzazione</w:t>
      </w:r>
      <w:r w:rsidR="00251199" w:rsidRPr="00FD1285">
        <w:rPr>
          <w:bCs/>
        </w:rPr>
        <w:t>, invece,</w:t>
      </w:r>
      <w:r w:rsidR="00B25CAB" w:rsidRPr="00FD1285">
        <w:rPr>
          <w:bCs/>
        </w:rPr>
        <w:t xml:space="preserve"> </w:t>
      </w:r>
      <w:r w:rsidR="00896726" w:rsidRPr="00FD1285">
        <w:rPr>
          <w:bCs/>
        </w:rPr>
        <w:t xml:space="preserve">sono solo il </w:t>
      </w:r>
      <w:r w:rsidR="00FD1285" w:rsidRPr="00FD1285">
        <w:rPr>
          <w:bCs/>
        </w:rPr>
        <w:t>37</w:t>
      </w:r>
      <w:r w:rsidR="00896726" w:rsidRPr="00FD1285">
        <w:rPr>
          <w:bCs/>
        </w:rPr>
        <w:t xml:space="preserve">% </w:t>
      </w:r>
      <w:r w:rsidR="00251199" w:rsidRPr="00FD1285">
        <w:rPr>
          <w:bCs/>
        </w:rPr>
        <w:t>quelli che non presentano criticità</w:t>
      </w:r>
      <w:r w:rsidR="00896726" w:rsidRPr="00FD1285">
        <w:rPr>
          <w:bCs/>
        </w:rPr>
        <w:t xml:space="preserve"> in quanto già approvati (A) o sono pronti per esserlo (S) o pur essendo compilati il docente desidera ricontrollarli (V). </w:t>
      </w:r>
      <w:r w:rsidR="005F7CC4" w:rsidRPr="00FD1285">
        <w:rPr>
          <w:bCs/>
        </w:rPr>
        <w:t>Rimane</w:t>
      </w:r>
      <w:r w:rsidR="00896726" w:rsidRPr="00FD1285">
        <w:rPr>
          <w:bCs/>
        </w:rPr>
        <w:t>, quindi,</w:t>
      </w:r>
      <w:r w:rsidR="005F7CC4" w:rsidRPr="00FD1285">
        <w:rPr>
          <w:bCs/>
        </w:rPr>
        <w:t xml:space="preserve"> alta la percentuale dei registri </w:t>
      </w:r>
      <w:r w:rsidR="00E067B0" w:rsidRPr="00FD1285">
        <w:rPr>
          <w:bCs/>
        </w:rPr>
        <w:t>che presentano una situazione di criticità</w:t>
      </w:r>
      <w:r w:rsidR="00FD1285" w:rsidRPr="00FD1285">
        <w:rPr>
          <w:bCs/>
        </w:rPr>
        <w:t xml:space="preserve"> (63</w:t>
      </w:r>
      <w:r w:rsidR="00896726" w:rsidRPr="00FD1285">
        <w:rPr>
          <w:bCs/>
        </w:rPr>
        <w:t>%)</w:t>
      </w:r>
      <w:r w:rsidR="00E067B0" w:rsidRPr="00FD1285">
        <w:rPr>
          <w:bCs/>
        </w:rPr>
        <w:t>, ossia s</w:t>
      </w:r>
      <w:r w:rsidR="005F7CC4" w:rsidRPr="00FD1285">
        <w:rPr>
          <w:bCs/>
        </w:rPr>
        <w:t>i trovano</w:t>
      </w:r>
      <w:r w:rsidR="00E067B0" w:rsidRPr="00FD1285">
        <w:rPr>
          <w:bCs/>
        </w:rPr>
        <w:t xml:space="preserve"> nella fase iniziale di compilazione (B) o non sono stati mai “</w:t>
      </w:r>
      <w:r w:rsidR="005F7CC4" w:rsidRPr="00FD1285">
        <w:rPr>
          <w:bCs/>
        </w:rPr>
        <w:t>aperti”</w:t>
      </w:r>
      <w:r w:rsidR="00332C9E" w:rsidRPr="00FD1285">
        <w:rPr>
          <w:bCs/>
        </w:rPr>
        <w:t>.</w:t>
      </w:r>
    </w:p>
    <w:tbl>
      <w:tblPr>
        <w:tblStyle w:val="Grigliatabella"/>
        <w:tblW w:w="9634" w:type="dxa"/>
        <w:tblLayout w:type="fixed"/>
        <w:tblLook w:val="04A0" w:firstRow="1" w:lastRow="0" w:firstColumn="1" w:lastColumn="0" w:noHBand="0" w:noVBand="1"/>
      </w:tblPr>
      <w:tblGrid>
        <w:gridCol w:w="1838"/>
        <w:gridCol w:w="1418"/>
        <w:gridCol w:w="1417"/>
        <w:gridCol w:w="567"/>
        <w:gridCol w:w="1843"/>
        <w:gridCol w:w="1276"/>
        <w:gridCol w:w="1275"/>
      </w:tblGrid>
      <w:tr w:rsidR="001D3845" w:rsidTr="00474ECF">
        <w:trPr>
          <w:trHeight w:val="484"/>
        </w:trPr>
        <w:tc>
          <w:tcPr>
            <w:tcW w:w="4673" w:type="dxa"/>
            <w:gridSpan w:val="3"/>
            <w:vAlign w:val="center"/>
          </w:tcPr>
          <w:p w:rsidR="001D3845" w:rsidRDefault="001D3845" w:rsidP="00474ECF">
            <w:pPr>
              <w:jc w:val="center"/>
            </w:pPr>
            <w:r w:rsidRPr="00A86E3A">
              <w:rPr>
                <w:b/>
              </w:rPr>
              <w:t>Registri Corsi di laurea</w:t>
            </w:r>
          </w:p>
        </w:tc>
        <w:tc>
          <w:tcPr>
            <w:tcW w:w="567" w:type="dxa"/>
            <w:shd w:val="clear" w:color="auto" w:fill="7F7F7F" w:themeFill="text1" w:themeFillTint="80"/>
            <w:vAlign w:val="center"/>
          </w:tcPr>
          <w:p w:rsidR="001D3845" w:rsidRDefault="001D3845" w:rsidP="00474ECF">
            <w:pPr>
              <w:jc w:val="center"/>
            </w:pPr>
          </w:p>
        </w:tc>
        <w:tc>
          <w:tcPr>
            <w:tcW w:w="4394" w:type="dxa"/>
            <w:gridSpan w:val="3"/>
            <w:vAlign w:val="center"/>
          </w:tcPr>
          <w:p w:rsidR="001D3845" w:rsidRDefault="001D3845" w:rsidP="00C46245">
            <w:pPr>
              <w:jc w:val="center"/>
            </w:pPr>
            <w:r w:rsidRPr="00DE0BE2">
              <w:rPr>
                <w:b/>
              </w:rPr>
              <w:t>Registri scuole specializzazione</w:t>
            </w:r>
          </w:p>
        </w:tc>
      </w:tr>
      <w:tr w:rsidR="001D3845" w:rsidTr="00474ECF">
        <w:tc>
          <w:tcPr>
            <w:tcW w:w="1838" w:type="dxa"/>
            <w:shd w:val="clear" w:color="auto" w:fill="auto"/>
            <w:vAlign w:val="center"/>
          </w:tcPr>
          <w:p w:rsidR="001D3845" w:rsidRPr="008C4DBA" w:rsidRDefault="001D3845" w:rsidP="00CA28B9"/>
        </w:tc>
        <w:tc>
          <w:tcPr>
            <w:tcW w:w="1418" w:type="dxa"/>
            <w:shd w:val="clear" w:color="auto" w:fill="auto"/>
            <w:vAlign w:val="center"/>
          </w:tcPr>
          <w:p w:rsidR="001D3845" w:rsidRDefault="001D3845" w:rsidP="00474ECF">
            <w:pPr>
              <w:jc w:val="center"/>
            </w:pPr>
            <w:r>
              <w:t>AA 2019/2020</w:t>
            </w:r>
          </w:p>
        </w:tc>
        <w:tc>
          <w:tcPr>
            <w:tcW w:w="1417" w:type="dxa"/>
            <w:shd w:val="clear" w:color="auto" w:fill="auto"/>
            <w:vAlign w:val="center"/>
          </w:tcPr>
          <w:p w:rsidR="001D3845" w:rsidRPr="00A86E3A" w:rsidRDefault="001D3845" w:rsidP="00474ECF">
            <w:pPr>
              <w:jc w:val="center"/>
            </w:pPr>
            <w:r w:rsidRPr="00A86E3A">
              <w:t>AA 2018/2019</w:t>
            </w:r>
          </w:p>
        </w:tc>
        <w:tc>
          <w:tcPr>
            <w:tcW w:w="567" w:type="dxa"/>
            <w:shd w:val="clear" w:color="auto" w:fill="7F7F7F" w:themeFill="text1" w:themeFillTint="80"/>
            <w:vAlign w:val="center"/>
          </w:tcPr>
          <w:p w:rsidR="001D3845" w:rsidRDefault="001D3845" w:rsidP="00474ECF">
            <w:pPr>
              <w:jc w:val="center"/>
            </w:pPr>
          </w:p>
        </w:tc>
        <w:tc>
          <w:tcPr>
            <w:tcW w:w="1843" w:type="dxa"/>
            <w:shd w:val="clear" w:color="auto" w:fill="auto"/>
            <w:vAlign w:val="center"/>
          </w:tcPr>
          <w:p w:rsidR="001D3845" w:rsidRPr="008C4DBA" w:rsidRDefault="001D3845" w:rsidP="00474ECF">
            <w:pPr>
              <w:jc w:val="center"/>
            </w:pPr>
          </w:p>
        </w:tc>
        <w:tc>
          <w:tcPr>
            <w:tcW w:w="1276" w:type="dxa"/>
            <w:vAlign w:val="center"/>
          </w:tcPr>
          <w:p w:rsidR="001D3845" w:rsidRDefault="001D3845" w:rsidP="00474ECF">
            <w:pPr>
              <w:jc w:val="center"/>
            </w:pPr>
            <w:r>
              <w:t>AA 2019/2020</w:t>
            </w:r>
          </w:p>
        </w:tc>
        <w:tc>
          <w:tcPr>
            <w:tcW w:w="1275" w:type="dxa"/>
            <w:shd w:val="clear" w:color="auto" w:fill="auto"/>
            <w:vAlign w:val="center"/>
          </w:tcPr>
          <w:p w:rsidR="001D3845" w:rsidRDefault="001D3845" w:rsidP="00474ECF">
            <w:pPr>
              <w:jc w:val="center"/>
            </w:pPr>
            <w:r w:rsidRPr="001D3845">
              <w:t>AA 2018/2019</w:t>
            </w:r>
          </w:p>
        </w:tc>
      </w:tr>
      <w:tr w:rsidR="001D3845" w:rsidTr="00C46245">
        <w:trPr>
          <w:trHeight w:val="301"/>
        </w:trPr>
        <w:tc>
          <w:tcPr>
            <w:tcW w:w="1838" w:type="dxa"/>
            <w:shd w:val="clear" w:color="auto" w:fill="DEEAF6" w:themeFill="accent1" w:themeFillTint="33"/>
            <w:vAlign w:val="center"/>
          </w:tcPr>
          <w:p w:rsidR="001D3845" w:rsidRPr="008C4DBA" w:rsidRDefault="001D3845" w:rsidP="00CA28B9">
            <w:r w:rsidRPr="008C4DBA">
              <w:t>Approvato</w:t>
            </w:r>
            <w:r>
              <w:t xml:space="preserve"> (A)</w:t>
            </w:r>
          </w:p>
        </w:tc>
        <w:tc>
          <w:tcPr>
            <w:tcW w:w="1418" w:type="dxa"/>
            <w:shd w:val="clear" w:color="auto" w:fill="DEEAF6" w:themeFill="accent1" w:themeFillTint="33"/>
            <w:vAlign w:val="center"/>
          </w:tcPr>
          <w:p w:rsidR="001D3845" w:rsidRDefault="00B674FE" w:rsidP="00474ECF">
            <w:pPr>
              <w:jc w:val="center"/>
            </w:pPr>
            <w:r>
              <w:t>1762</w:t>
            </w:r>
            <w:r w:rsidR="004B38B4">
              <w:t xml:space="preserve"> (71</w:t>
            </w:r>
            <w:r w:rsidR="00A240D5">
              <w:t>%)</w:t>
            </w:r>
          </w:p>
        </w:tc>
        <w:tc>
          <w:tcPr>
            <w:tcW w:w="1417" w:type="dxa"/>
            <w:shd w:val="clear" w:color="auto" w:fill="DEEAF6" w:themeFill="accent1" w:themeFillTint="33"/>
            <w:vAlign w:val="center"/>
          </w:tcPr>
          <w:p w:rsidR="001D3845" w:rsidRDefault="001D3845" w:rsidP="00474ECF">
            <w:pPr>
              <w:jc w:val="center"/>
            </w:pPr>
            <w:r>
              <w:t>1911 (76%)</w:t>
            </w:r>
          </w:p>
        </w:tc>
        <w:tc>
          <w:tcPr>
            <w:tcW w:w="567" w:type="dxa"/>
            <w:shd w:val="clear" w:color="auto" w:fill="7F7F7F" w:themeFill="text1" w:themeFillTint="80"/>
            <w:vAlign w:val="center"/>
          </w:tcPr>
          <w:p w:rsidR="001D3845" w:rsidRDefault="001D3845" w:rsidP="00474ECF">
            <w:pPr>
              <w:jc w:val="center"/>
            </w:pPr>
          </w:p>
        </w:tc>
        <w:tc>
          <w:tcPr>
            <w:tcW w:w="1843" w:type="dxa"/>
            <w:shd w:val="clear" w:color="auto" w:fill="DEEAF6" w:themeFill="accent1" w:themeFillTint="33"/>
            <w:vAlign w:val="center"/>
          </w:tcPr>
          <w:p w:rsidR="001D3845" w:rsidRPr="008C4DBA" w:rsidRDefault="001D3845" w:rsidP="00474ECF">
            <w:pPr>
              <w:jc w:val="center"/>
            </w:pPr>
            <w:r w:rsidRPr="008C4DBA">
              <w:t>Approvato</w:t>
            </w:r>
            <w:r>
              <w:t xml:space="preserve"> (A)</w:t>
            </w:r>
          </w:p>
        </w:tc>
        <w:tc>
          <w:tcPr>
            <w:tcW w:w="1276" w:type="dxa"/>
            <w:shd w:val="clear" w:color="auto" w:fill="DEEAF6" w:themeFill="accent1" w:themeFillTint="33"/>
            <w:vAlign w:val="center"/>
          </w:tcPr>
          <w:p w:rsidR="001D3845" w:rsidRDefault="00BA2BB6" w:rsidP="00474ECF">
            <w:pPr>
              <w:jc w:val="center"/>
            </w:pPr>
            <w:r>
              <w:t>321 (24</w:t>
            </w:r>
            <w:r w:rsidR="00A240D5">
              <w:t>%)</w:t>
            </w:r>
          </w:p>
        </w:tc>
        <w:tc>
          <w:tcPr>
            <w:tcW w:w="1275" w:type="dxa"/>
            <w:shd w:val="clear" w:color="auto" w:fill="DEEAF6" w:themeFill="accent1" w:themeFillTint="33"/>
            <w:vAlign w:val="center"/>
          </w:tcPr>
          <w:p w:rsidR="001D3845" w:rsidRDefault="001D3845" w:rsidP="00474ECF">
            <w:pPr>
              <w:jc w:val="center"/>
            </w:pPr>
            <w:r>
              <w:t>277 (21%)</w:t>
            </w:r>
          </w:p>
        </w:tc>
      </w:tr>
      <w:tr w:rsidR="001D3845" w:rsidTr="00474ECF">
        <w:tc>
          <w:tcPr>
            <w:tcW w:w="1838" w:type="dxa"/>
            <w:shd w:val="clear" w:color="auto" w:fill="F7CAAC" w:themeFill="accent2" w:themeFillTint="66"/>
            <w:vAlign w:val="center"/>
          </w:tcPr>
          <w:p w:rsidR="001D3845" w:rsidRPr="008C4DBA" w:rsidRDefault="001D3845" w:rsidP="00CA28B9">
            <w:r w:rsidRPr="008C4DBA">
              <w:t>In attesa di approvazione</w:t>
            </w:r>
            <w:r>
              <w:t xml:space="preserve"> (S)</w:t>
            </w:r>
          </w:p>
        </w:tc>
        <w:tc>
          <w:tcPr>
            <w:tcW w:w="1418" w:type="dxa"/>
            <w:shd w:val="clear" w:color="auto" w:fill="F7CAAC" w:themeFill="accent2" w:themeFillTint="66"/>
            <w:vAlign w:val="center"/>
          </w:tcPr>
          <w:p w:rsidR="001D3845" w:rsidRDefault="00B674FE" w:rsidP="00474ECF">
            <w:pPr>
              <w:jc w:val="center"/>
            </w:pPr>
            <w:r>
              <w:t>51</w:t>
            </w:r>
            <w:r w:rsidR="00A240D5">
              <w:t xml:space="preserve"> (2%)</w:t>
            </w:r>
          </w:p>
        </w:tc>
        <w:tc>
          <w:tcPr>
            <w:tcW w:w="1417" w:type="dxa"/>
            <w:shd w:val="clear" w:color="auto" w:fill="F7CAAC" w:themeFill="accent2" w:themeFillTint="66"/>
            <w:vAlign w:val="center"/>
          </w:tcPr>
          <w:p w:rsidR="001D3845" w:rsidRDefault="001D3845" w:rsidP="00474ECF">
            <w:pPr>
              <w:jc w:val="center"/>
            </w:pPr>
            <w:r>
              <w:t>68 (3%)</w:t>
            </w:r>
          </w:p>
        </w:tc>
        <w:tc>
          <w:tcPr>
            <w:tcW w:w="567" w:type="dxa"/>
            <w:shd w:val="clear" w:color="auto" w:fill="7F7F7F" w:themeFill="text1" w:themeFillTint="80"/>
            <w:vAlign w:val="center"/>
          </w:tcPr>
          <w:p w:rsidR="001D3845" w:rsidRDefault="001D3845" w:rsidP="00474ECF">
            <w:pPr>
              <w:jc w:val="center"/>
            </w:pPr>
          </w:p>
        </w:tc>
        <w:tc>
          <w:tcPr>
            <w:tcW w:w="1843" w:type="dxa"/>
            <w:shd w:val="clear" w:color="auto" w:fill="F7CAAC" w:themeFill="accent2" w:themeFillTint="66"/>
            <w:vAlign w:val="center"/>
          </w:tcPr>
          <w:p w:rsidR="001D3845" w:rsidRPr="008C4DBA" w:rsidRDefault="001D3845" w:rsidP="00474ECF">
            <w:pPr>
              <w:jc w:val="center"/>
            </w:pPr>
            <w:r w:rsidRPr="008C4DBA">
              <w:t>In attesa di approvazione</w:t>
            </w:r>
            <w:r>
              <w:t xml:space="preserve"> (S)</w:t>
            </w:r>
          </w:p>
        </w:tc>
        <w:tc>
          <w:tcPr>
            <w:tcW w:w="1276" w:type="dxa"/>
            <w:shd w:val="clear" w:color="auto" w:fill="F7CAAC" w:themeFill="accent2" w:themeFillTint="66"/>
            <w:vAlign w:val="center"/>
          </w:tcPr>
          <w:p w:rsidR="001D3845" w:rsidRDefault="00BA2BB6" w:rsidP="00474ECF">
            <w:pPr>
              <w:jc w:val="center"/>
            </w:pPr>
            <w:r>
              <w:t>140 (10</w:t>
            </w:r>
            <w:r w:rsidR="00A240D5">
              <w:t>%)</w:t>
            </w:r>
          </w:p>
        </w:tc>
        <w:tc>
          <w:tcPr>
            <w:tcW w:w="1275" w:type="dxa"/>
            <w:shd w:val="clear" w:color="auto" w:fill="F7CAAC" w:themeFill="accent2" w:themeFillTint="66"/>
            <w:vAlign w:val="center"/>
          </w:tcPr>
          <w:p w:rsidR="001D3845" w:rsidRDefault="001D3845" w:rsidP="00474ECF">
            <w:pPr>
              <w:jc w:val="center"/>
            </w:pPr>
            <w:r>
              <w:t>135 (10%)</w:t>
            </w:r>
          </w:p>
        </w:tc>
      </w:tr>
      <w:tr w:rsidR="001D3845" w:rsidTr="00C46245">
        <w:trPr>
          <w:trHeight w:val="413"/>
        </w:trPr>
        <w:tc>
          <w:tcPr>
            <w:tcW w:w="1838" w:type="dxa"/>
            <w:shd w:val="clear" w:color="auto" w:fill="FFF2CC" w:themeFill="accent4" w:themeFillTint="33"/>
            <w:vAlign w:val="center"/>
          </w:tcPr>
          <w:p w:rsidR="001D3845" w:rsidRPr="008C4DBA" w:rsidRDefault="001D3845" w:rsidP="00CA28B9">
            <w:r w:rsidRPr="008C4DBA">
              <w:t>Da Verificare</w:t>
            </w:r>
            <w:r>
              <w:t xml:space="preserve"> (V)</w:t>
            </w:r>
          </w:p>
        </w:tc>
        <w:tc>
          <w:tcPr>
            <w:tcW w:w="1418" w:type="dxa"/>
            <w:shd w:val="clear" w:color="auto" w:fill="FFF2CC" w:themeFill="accent4" w:themeFillTint="33"/>
            <w:vAlign w:val="center"/>
          </w:tcPr>
          <w:p w:rsidR="001D3845" w:rsidRDefault="00B674FE" w:rsidP="00474ECF">
            <w:pPr>
              <w:jc w:val="center"/>
            </w:pPr>
            <w:r>
              <w:t xml:space="preserve">77 </w:t>
            </w:r>
            <w:r w:rsidR="00A240D5">
              <w:t>(3%)</w:t>
            </w:r>
          </w:p>
        </w:tc>
        <w:tc>
          <w:tcPr>
            <w:tcW w:w="1417" w:type="dxa"/>
            <w:shd w:val="clear" w:color="auto" w:fill="FFF2CC" w:themeFill="accent4" w:themeFillTint="33"/>
            <w:vAlign w:val="center"/>
          </w:tcPr>
          <w:p w:rsidR="001D3845" w:rsidRDefault="001D3845" w:rsidP="00474ECF">
            <w:pPr>
              <w:jc w:val="center"/>
            </w:pPr>
            <w:r>
              <w:t>60 (2%)</w:t>
            </w:r>
          </w:p>
        </w:tc>
        <w:tc>
          <w:tcPr>
            <w:tcW w:w="567" w:type="dxa"/>
            <w:shd w:val="clear" w:color="auto" w:fill="7F7F7F" w:themeFill="text1" w:themeFillTint="80"/>
            <w:vAlign w:val="center"/>
          </w:tcPr>
          <w:p w:rsidR="001D3845" w:rsidRDefault="001D3845" w:rsidP="00474ECF">
            <w:pPr>
              <w:jc w:val="center"/>
            </w:pPr>
          </w:p>
        </w:tc>
        <w:tc>
          <w:tcPr>
            <w:tcW w:w="1843" w:type="dxa"/>
            <w:shd w:val="clear" w:color="auto" w:fill="FFF2CC" w:themeFill="accent4" w:themeFillTint="33"/>
            <w:vAlign w:val="center"/>
          </w:tcPr>
          <w:p w:rsidR="001D3845" w:rsidRPr="008C4DBA" w:rsidRDefault="001D3845" w:rsidP="00474ECF">
            <w:pPr>
              <w:jc w:val="center"/>
            </w:pPr>
            <w:r w:rsidRPr="008C4DBA">
              <w:t>Da Verificare</w:t>
            </w:r>
            <w:r>
              <w:t xml:space="preserve"> (V)</w:t>
            </w:r>
          </w:p>
        </w:tc>
        <w:tc>
          <w:tcPr>
            <w:tcW w:w="1276" w:type="dxa"/>
            <w:shd w:val="clear" w:color="auto" w:fill="FFF2CC" w:themeFill="accent4" w:themeFillTint="33"/>
            <w:vAlign w:val="center"/>
          </w:tcPr>
          <w:p w:rsidR="001D3845" w:rsidRDefault="00BA2BB6" w:rsidP="00474ECF">
            <w:pPr>
              <w:jc w:val="center"/>
            </w:pPr>
            <w:r>
              <w:t>34</w:t>
            </w:r>
            <w:r w:rsidR="00A240D5">
              <w:t xml:space="preserve"> (3%)</w:t>
            </w:r>
          </w:p>
        </w:tc>
        <w:tc>
          <w:tcPr>
            <w:tcW w:w="1275" w:type="dxa"/>
            <w:shd w:val="clear" w:color="auto" w:fill="FFF2CC" w:themeFill="accent4" w:themeFillTint="33"/>
            <w:vAlign w:val="center"/>
          </w:tcPr>
          <w:p w:rsidR="001D3845" w:rsidRDefault="001D3845" w:rsidP="00474ECF">
            <w:pPr>
              <w:jc w:val="center"/>
            </w:pPr>
            <w:r>
              <w:t>25 (2%)</w:t>
            </w:r>
          </w:p>
        </w:tc>
      </w:tr>
      <w:tr w:rsidR="001D3845" w:rsidTr="00C46245">
        <w:trPr>
          <w:trHeight w:val="431"/>
        </w:trPr>
        <w:tc>
          <w:tcPr>
            <w:tcW w:w="1838" w:type="dxa"/>
            <w:shd w:val="clear" w:color="auto" w:fill="C5E0B3" w:themeFill="accent6" w:themeFillTint="66"/>
            <w:vAlign w:val="center"/>
          </w:tcPr>
          <w:p w:rsidR="001D3845" w:rsidRPr="008C4DBA" w:rsidRDefault="001D3845" w:rsidP="00CA28B9">
            <w:r w:rsidRPr="008C4DBA">
              <w:t>Bozza</w:t>
            </w:r>
            <w:r>
              <w:t xml:space="preserve"> (B)</w:t>
            </w:r>
          </w:p>
        </w:tc>
        <w:tc>
          <w:tcPr>
            <w:tcW w:w="1418" w:type="dxa"/>
            <w:shd w:val="clear" w:color="auto" w:fill="C5E0B3" w:themeFill="accent6" w:themeFillTint="66"/>
            <w:vAlign w:val="center"/>
          </w:tcPr>
          <w:p w:rsidR="001D3845" w:rsidRDefault="00B674FE" w:rsidP="00474ECF">
            <w:pPr>
              <w:jc w:val="center"/>
            </w:pPr>
            <w:r>
              <w:t>431</w:t>
            </w:r>
            <w:r w:rsidR="004B38B4">
              <w:t xml:space="preserve"> (16</w:t>
            </w:r>
            <w:r w:rsidR="00A240D5">
              <w:t>%)</w:t>
            </w:r>
          </w:p>
        </w:tc>
        <w:tc>
          <w:tcPr>
            <w:tcW w:w="1417" w:type="dxa"/>
            <w:shd w:val="clear" w:color="auto" w:fill="C5E0B3" w:themeFill="accent6" w:themeFillTint="66"/>
            <w:vAlign w:val="center"/>
          </w:tcPr>
          <w:p w:rsidR="001D3845" w:rsidRDefault="001D3845" w:rsidP="00474ECF">
            <w:pPr>
              <w:jc w:val="center"/>
            </w:pPr>
            <w:r>
              <w:t>313 (12%)</w:t>
            </w:r>
          </w:p>
        </w:tc>
        <w:tc>
          <w:tcPr>
            <w:tcW w:w="567" w:type="dxa"/>
            <w:shd w:val="clear" w:color="auto" w:fill="7F7F7F" w:themeFill="text1" w:themeFillTint="80"/>
            <w:vAlign w:val="center"/>
          </w:tcPr>
          <w:p w:rsidR="001D3845" w:rsidRDefault="001D3845" w:rsidP="00474ECF">
            <w:pPr>
              <w:jc w:val="center"/>
            </w:pPr>
          </w:p>
        </w:tc>
        <w:tc>
          <w:tcPr>
            <w:tcW w:w="1843" w:type="dxa"/>
            <w:shd w:val="clear" w:color="auto" w:fill="C5E0B3" w:themeFill="accent6" w:themeFillTint="66"/>
            <w:vAlign w:val="center"/>
          </w:tcPr>
          <w:p w:rsidR="001D3845" w:rsidRPr="008C4DBA" w:rsidRDefault="001D3845" w:rsidP="00474ECF">
            <w:pPr>
              <w:jc w:val="center"/>
            </w:pPr>
            <w:r w:rsidRPr="008C4DBA">
              <w:t>Bozza</w:t>
            </w:r>
            <w:r>
              <w:t xml:space="preserve"> (B)</w:t>
            </w:r>
          </w:p>
        </w:tc>
        <w:tc>
          <w:tcPr>
            <w:tcW w:w="1276" w:type="dxa"/>
            <w:shd w:val="clear" w:color="auto" w:fill="C5E0B3" w:themeFill="accent6" w:themeFillTint="66"/>
            <w:vAlign w:val="center"/>
          </w:tcPr>
          <w:p w:rsidR="001D3845" w:rsidRDefault="00BA2BB6" w:rsidP="00474ECF">
            <w:pPr>
              <w:jc w:val="center"/>
            </w:pPr>
            <w:r>
              <w:t>816 (60</w:t>
            </w:r>
            <w:r w:rsidR="00A240D5">
              <w:t>%)</w:t>
            </w:r>
          </w:p>
        </w:tc>
        <w:tc>
          <w:tcPr>
            <w:tcW w:w="1275" w:type="dxa"/>
            <w:shd w:val="clear" w:color="auto" w:fill="C5E0B3" w:themeFill="accent6" w:themeFillTint="66"/>
            <w:vAlign w:val="center"/>
          </w:tcPr>
          <w:p w:rsidR="001D3845" w:rsidRDefault="001D3845" w:rsidP="00474ECF">
            <w:pPr>
              <w:jc w:val="center"/>
            </w:pPr>
            <w:r>
              <w:t>842 (63%)</w:t>
            </w:r>
          </w:p>
        </w:tc>
      </w:tr>
      <w:tr w:rsidR="001D3845" w:rsidTr="00C46245">
        <w:trPr>
          <w:trHeight w:val="409"/>
        </w:trPr>
        <w:tc>
          <w:tcPr>
            <w:tcW w:w="1838" w:type="dxa"/>
            <w:shd w:val="clear" w:color="auto" w:fill="F2F2F2" w:themeFill="background1" w:themeFillShade="F2"/>
            <w:vAlign w:val="center"/>
          </w:tcPr>
          <w:p w:rsidR="001D3845" w:rsidRPr="008C4DBA" w:rsidRDefault="001D3845" w:rsidP="00CA28B9">
            <w:r w:rsidRPr="008C4DBA">
              <w:t>Non compilato</w:t>
            </w:r>
          </w:p>
        </w:tc>
        <w:tc>
          <w:tcPr>
            <w:tcW w:w="1418" w:type="dxa"/>
            <w:shd w:val="clear" w:color="auto" w:fill="F2F2F2" w:themeFill="background1" w:themeFillShade="F2"/>
            <w:vAlign w:val="center"/>
          </w:tcPr>
          <w:p w:rsidR="001D3845" w:rsidRDefault="00B674FE" w:rsidP="00474ECF">
            <w:pPr>
              <w:jc w:val="center"/>
            </w:pPr>
            <w:r>
              <w:t>210 (8</w:t>
            </w:r>
            <w:r w:rsidR="00A240D5">
              <w:t>%</w:t>
            </w:r>
            <w:r>
              <w:t>)</w:t>
            </w:r>
          </w:p>
        </w:tc>
        <w:tc>
          <w:tcPr>
            <w:tcW w:w="1417" w:type="dxa"/>
            <w:shd w:val="clear" w:color="auto" w:fill="F2F2F2" w:themeFill="background1" w:themeFillShade="F2"/>
            <w:vAlign w:val="center"/>
          </w:tcPr>
          <w:p w:rsidR="001D3845" w:rsidRDefault="001D3845" w:rsidP="00474ECF">
            <w:pPr>
              <w:jc w:val="center"/>
            </w:pPr>
            <w:r>
              <w:t>158 (7%)</w:t>
            </w:r>
          </w:p>
        </w:tc>
        <w:tc>
          <w:tcPr>
            <w:tcW w:w="567" w:type="dxa"/>
            <w:shd w:val="clear" w:color="auto" w:fill="7F7F7F" w:themeFill="text1" w:themeFillTint="80"/>
            <w:vAlign w:val="center"/>
          </w:tcPr>
          <w:p w:rsidR="001D3845" w:rsidRDefault="001D3845" w:rsidP="00474ECF">
            <w:pPr>
              <w:jc w:val="center"/>
            </w:pPr>
          </w:p>
        </w:tc>
        <w:tc>
          <w:tcPr>
            <w:tcW w:w="1843" w:type="dxa"/>
            <w:shd w:val="clear" w:color="auto" w:fill="F2F2F2" w:themeFill="background1" w:themeFillShade="F2"/>
            <w:vAlign w:val="center"/>
          </w:tcPr>
          <w:p w:rsidR="001D3845" w:rsidRPr="008C4DBA" w:rsidRDefault="001D3845" w:rsidP="00474ECF">
            <w:pPr>
              <w:jc w:val="center"/>
            </w:pPr>
            <w:r w:rsidRPr="008C4DBA">
              <w:t>Non compilato</w:t>
            </w:r>
          </w:p>
        </w:tc>
        <w:tc>
          <w:tcPr>
            <w:tcW w:w="1276" w:type="dxa"/>
            <w:shd w:val="clear" w:color="auto" w:fill="F2F2F2" w:themeFill="background1" w:themeFillShade="F2"/>
            <w:vAlign w:val="center"/>
          </w:tcPr>
          <w:p w:rsidR="001D3845" w:rsidRDefault="00BA2BB6" w:rsidP="00474ECF">
            <w:pPr>
              <w:jc w:val="center"/>
            </w:pPr>
            <w:r>
              <w:t>38 (3</w:t>
            </w:r>
            <w:r w:rsidR="00A240D5">
              <w:t>%)</w:t>
            </w:r>
          </w:p>
        </w:tc>
        <w:tc>
          <w:tcPr>
            <w:tcW w:w="1275" w:type="dxa"/>
            <w:shd w:val="clear" w:color="auto" w:fill="F2F2F2" w:themeFill="background1" w:themeFillShade="F2"/>
            <w:vAlign w:val="center"/>
          </w:tcPr>
          <w:p w:rsidR="001D3845" w:rsidRDefault="001D3845" w:rsidP="00474ECF">
            <w:pPr>
              <w:jc w:val="center"/>
            </w:pPr>
            <w:r>
              <w:t>51 (4%)</w:t>
            </w:r>
          </w:p>
        </w:tc>
      </w:tr>
      <w:tr w:rsidR="001D3845" w:rsidTr="00C46245">
        <w:tc>
          <w:tcPr>
            <w:tcW w:w="1838" w:type="dxa"/>
            <w:shd w:val="clear" w:color="auto" w:fill="auto"/>
            <w:vAlign w:val="center"/>
          </w:tcPr>
          <w:p w:rsidR="001D3845" w:rsidRPr="008C4DBA" w:rsidRDefault="001D3845" w:rsidP="00CA28B9">
            <w:r>
              <w:t>TOTALE n. registri</w:t>
            </w:r>
          </w:p>
        </w:tc>
        <w:tc>
          <w:tcPr>
            <w:tcW w:w="1418" w:type="dxa"/>
            <w:shd w:val="clear" w:color="auto" w:fill="auto"/>
            <w:vAlign w:val="center"/>
          </w:tcPr>
          <w:p w:rsidR="001D3845" w:rsidRDefault="00B674FE" w:rsidP="00474ECF">
            <w:pPr>
              <w:jc w:val="center"/>
            </w:pPr>
            <w:r>
              <w:t>2531</w:t>
            </w:r>
          </w:p>
        </w:tc>
        <w:tc>
          <w:tcPr>
            <w:tcW w:w="1417" w:type="dxa"/>
            <w:shd w:val="clear" w:color="auto" w:fill="auto"/>
            <w:vAlign w:val="center"/>
          </w:tcPr>
          <w:p w:rsidR="001D3845" w:rsidRDefault="001D3845" w:rsidP="00474ECF">
            <w:pPr>
              <w:jc w:val="center"/>
            </w:pPr>
            <w:r>
              <w:t>2510</w:t>
            </w:r>
          </w:p>
        </w:tc>
        <w:tc>
          <w:tcPr>
            <w:tcW w:w="567" w:type="dxa"/>
            <w:shd w:val="clear" w:color="auto" w:fill="7F7F7F" w:themeFill="text1" w:themeFillTint="80"/>
            <w:vAlign w:val="center"/>
          </w:tcPr>
          <w:p w:rsidR="001D3845" w:rsidRDefault="001D3845" w:rsidP="00474ECF">
            <w:pPr>
              <w:jc w:val="center"/>
            </w:pPr>
          </w:p>
        </w:tc>
        <w:tc>
          <w:tcPr>
            <w:tcW w:w="1843" w:type="dxa"/>
            <w:shd w:val="clear" w:color="auto" w:fill="auto"/>
            <w:vAlign w:val="center"/>
          </w:tcPr>
          <w:p w:rsidR="001D3845" w:rsidRPr="008C4DBA" w:rsidRDefault="001D3845" w:rsidP="00474ECF">
            <w:pPr>
              <w:jc w:val="center"/>
            </w:pPr>
            <w:r>
              <w:t>TOTALE n. registri</w:t>
            </w:r>
          </w:p>
        </w:tc>
        <w:tc>
          <w:tcPr>
            <w:tcW w:w="1276" w:type="dxa"/>
            <w:shd w:val="clear" w:color="auto" w:fill="auto"/>
            <w:vAlign w:val="center"/>
          </w:tcPr>
          <w:p w:rsidR="001D3845" w:rsidRDefault="00BA2BB6" w:rsidP="00474ECF">
            <w:pPr>
              <w:jc w:val="center"/>
            </w:pPr>
            <w:r>
              <w:t>1349</w:t>
            </w:r>
          </w:p>
        </w:tc>
        <w:tc>
          <w:tcPr>
            <w:tcW w:w="1275" w:type="dxa"/>
            <w:shd w:val="clear" w:color="auto" w:fill="auto"/>
            <w:vAlign w:val="center"/>
          </w:tcPr>
          <w:p w:rsidR="001D3845" w:rsidRDefault="001D3845" w:rsidP="00474ECF">
            <w:pPr>
              <w:jc w:val="center"/>
            </w:pPr>
            <w:r>
              <w:t>1330</w:t>
            </w:r>
          </w:p>
        </w:tc>
      </w:tr>
    </w:tbl>
    <w:p w:rsidR="00C46245" w:rsidRDefault="00C46245" w:rsidP="00804459">
      <w:pPr>
        <w:spacing w:after="0"/>
      </w:pPr>
    </w:p>
    <w:p w:rsidR="00896281" w:rsidRPr="001C5100" w:rsidRDefault="009D05CA" w:rsidP="00804459">
      <w:pPr>
        <w:spacing w:after="0"/>
        <w:rPr>
          <w:b/>
        </w:rPr>
      </w:pPr>
      <w:r w:rsidRPr="001C5100">
        <w:rPr>
          <w:b/>
          <w:color w:val="FF0000"/>
        </w:rPr>
        <w:t xml:space="preserve">  </w:t>
      </w:r>
      <w:r w:rsidRPr="001C5100">
        <w:rPr>
          <w:b/>
        </w:rPr>
        <w:t>e</w:t>
      </w:r>
      <w:r w:rsidR="00896281" w:rsidRPr="001C5100">
        <w:rPr>
          <w:b/>
        </w:rPr>
        <w:t xml:space="preserve">) </w:t>
      </w:r>
      <w:r w:rsidR="00896281" w:rsidRPr="001C5100">
        <w:rPr>
          <w:b/>
          <w:u w:val="single"/>
        </w:rPr>
        <w:t xml:space="preserve">Compilazione del </w:t>
      </w:r>
      <w:proofErr w:type="spellStart"/>
      <w:r w:rsidR="00896281" w:rsidRPr="001C5100">
        <w:rPr>
          <w:b/>
          <w:u w:val="single"/>
        </w:rPr>
        <w:t>Syllabus</w:t>
      </w:r>
      <w:proofErr w:type="spellEnd"/>
      <w:r w:rsidR="00896281" w:rsidRPr="001C5100">
        <w:rPr>
          <w:b/>
          <w:u w:val="single"/>
        </w:rPr>
        <w:t xml:space="preserve"> degli insegnamenti</w:t>
      </w:r>
    </w:p>
    <w:p w:rsidR="0082333B" w:rsidRPr="00C42327" w:rsidRDefault="00896281" w:rsidP="00B9440F">
      <w:pPr>
        <w:spacing w:after="0"/>
        <w:jc w:val="both"/>
      </w:pPr>
      <w:r w:rsidRPr="00C42327">
        <w:t>La comp</w:t>
      </w:r>
      <w:r w:rsidR="000C3064" w:rsidRPr="00C42327">
        <w:t xml:space="preserve">ilazione dei </w:t>
      </w:r>
      <w:proofErr w:type="spellStart"/>
      <w:r w:rsidR="000C3064" w:rsidRPr="00C42327">
        <w:t>syllabi</w:t>
      </w:r>
      <w:proofErr w:type="spellEnd"/>
      <w:r w:rsidR="000C3064" w:rsidRPr="00C42327">
        <w:t xml:space="preserve"> è uno</w:t>
      </w:r>
      <w:r w:rsidRPr="00C42327">
        <w:t xml:space="preserve"> </w:t>
      </w:r>
      <w:r w:rsidR="000C3064" w:rsidRPr="00C42327">
        <w:t>degl</w:t>
      </w:r>
      <w:r w:rsidRPr="00C42327">
        <w:t xml:space="preserve">i obblighi didattici dei docenti. I risultati del seguente monitoraggio fanno riferimento alla compilazione dei </w:t>
      </w:r>
      <w:proofErr w:type="spellStart"/>
      <w:r w:rsidRPr="00C42327">
        <w:t>syllabi</w:t>
      </w:r>
      <w:proofErr w:type="spellEnd"/>
      <w:r w:rsidRPr="00C42327">
        <w:t xml:space="preserve"> </w:t>
      </w:r>
      <w:r w:rsidR="0082333B" w:rsidRPr="00C42327">
        <w:t xml:space="preserve">nei corsi di I° e II° livello da parte dei docenti interessati alla procedura di valutazione per l’assegnazione degli scatti stipendiali. </w:t>
      </w:r>
      <w:r w:rsidRPr="00C42327">
        <w:t>Sono escluse, quindi, le attività didattiche svolte dai docenti nelle scuole di specializzazione.</w:t>
      </w:r>
      <w:r w:rsidR="0082333B" w:rsidRPr="00C42327">
        <w:t xml:space="preserve"> </w:t>
      </w:r>
    </w:p>
    <w:p w:rsidR="00C46245" w:rsidRPr="00C42327" w:rsidRDefault="0082333B" w:rsidP="00B9440F">
      <w:pPr>
        <w:spacing w:after="0"/>
        <w:jc w:val="both"/>
      </w:pPr>
      <w:r w:rsidRPr="00C42327">
        <w:t>Le procedure di verifica si sono svolte a partire dal 2018 (con riferimento all’anno 2017) ed evidenziano un trend crescente di compilazione dei sillabi, grazie anche alla forte attività di sensibilizzazione alla compilazione svolta da parte dell'Ufficio personale docente, attraverso ripetuti solleciti e informazioni, anche tecniche, fornite ai docenti.</w:t>
      </w:r>
    </w:p>
    <w:tbl>
      <w:tblPr>
        <w:tblStyle w:val="Grigliatabella"/>
        <w:tblW w:w="0" w:type="auto"/>
        <w:tblLook w:val="04A0" w:firstRow="1" w:lastRow="0" w:firstColumn="1" w:lastColumn="0" w:noHBand="0" w:noVBand="1"/>
      </w:tblPr>
      <w:tblGrid>
        <w:gridCol w:w="3823"/>
        <w:gridCol w:w="2693"/>
        <w:gridCol w:w="3112"/>
      </w:tblGrid>
      <w:tr w:rsidR="00552CA0" w:rsidTr="0082333B">
        <w:trPr>
          <w:trHeight w:val="335"/>
        </w:trPr>
        <w:tc>
          <w:tcPr>
            <w:tcW w:w="9628" w:type="dxa"/>
            <w:gridSpan w:val="3"/>
            <w:vAlign w:val="center"/>
          </w:tcPr>
          <w:p w:rsidR="00552CA0" w:rsidRPr="00552CA0" w:rsidRDefault="00552CA0" w:rsidP="0082333B">
            <w:pPr>
              <w:jc w:val="center"/>
            </w:pPr>
            <w:r w:rsidRPr="00552CA0">
              <w:rPr>
                <w:b/>
              </w:rPr>
              <w:t xml:space="preserve">Compilazione del </w:t>
            </w:r>
            <w:proofErr w:type="spellStart"/>
            <w:r w:rsidRPr="00552CA0">
              <w:rPr>
                <w:b/>
              </w:rPr>
              <w:t>Syllabus</w:t>
            </w:r>
            <w:proofErr w:type="spellEnd"/>
            <w:r w:rsidRPr="00552CA0">
              <w:t xml:space="preserve"> (riferito a </w:t>
            </w:r>
            <w:r w:rsidRPr="00552CA0">
              <w:rPr>
                <w:bCs/>
              </w:rPr>
              <w:t>corsi I° e II° livello)</w:t>
            </w:r>
          </w:p>
        </w:tc>
      </w:tr>
      <w:tr w:rsidR="00552CA0" w:rsidTr="00CE2259">
        <w:tc>
          <w:tcPr>
            <w:tcW w:w="3823" w:type="dxa"/>
            <w:shd w:val="clear" w:color="auto" w:fill="auto"/>
            <w:vAlign w:val="center"/>
          </w:tcPr>
          <w:p w:rsidR="00552CA0" w:rsidRPr="00552CA0" w:rsidRDefault="00552CA0" w:rsidP="0082333B">
            <w:pPr>
              <w:jc w:val="center"/>
              <w:rPr>
                <w:b/>
              </w:rPr>
            </w:pPr>
          </w:p>
        </w:tc>
        <w:tc>
          <w:tcPr>
            <w:tcW w:w="2693" w:type="dxa"/>
            <w:vAlign w:val="center"/>
          </w:tcPr>
          <w:p w:rsidR="00552CA0" w:rsidRPr="00552CA0" w:rsidRDefault="00552CA0" w:rsidP="0082333B">
            <w:pPr>
              <w:jc w:val="center"/>
              <w:rPr>
                <w:b/>
              </w:rPr>
            </w:pPr>
            <w:r w:rsidRPr="00552CA0">
              <w:rPr>
                <w:b/>
              </w:rPr>
              <w:t>In regola</w:t>
            </w:r>
          </w:p>
        </w:tc>
        <w:tc>
          <w:tcPr>
            <w:tcW w:w="3112" w:type="dxa"/>
            <w:vAlign w:val="center"/>
          </w:tcPr>
          <w:p w:rsidR="00552CA0" w:rsidRPr="00552CA0" w:rsidRDefault="00552CA0" w:rsidP="0082333B">
            <w:pPr>
              <w:jc w:val="center"/>
              <w:rPr>
                <w:b/>
              </w:rPr>
            </w:pPr>
            <w:r w:rsidRPr="00552CA0">
              <w:rPr>
                <w:b/>
              </w:rPr>
              <w:t>Con problemi o non compilati</w:t>
            </w:r>
          </w:p>
        </w:tc>
      </w:tr>
      <w:tr w:rsidR="00C42327" w:rsidTr="00474ECF">
        <w:tc>
          <w:tcPr>
            <w:tcW w:w="3823" w:type="dxa"/>
            <w:shd w:val="clear" w:color="auto" w:fill="DEEAF6" w:themeFill="accent1" w:themeFillTint="33"/>
            <w:vAlign w:val="center"/>
          </w:tcPr>
          <w:p w:rsidR="00C42327" w:rsidRDefault="00C42327" w:rsidP="0082333B">
            <w:pPr>
              <w:jc w:val="center"/>
              <w:rPr>
                <w:b/>
              </w:rPr>
            </w:pPr>
            <w:r>
              <w:rPr>
                <w:b/>
              </w:rPr>
              <w:t>Anno 2021 I e II quadrimestre</w:t>
            </w:r>
          </w:p>
        </w:tc>
        <w:tc>
          <w:tcPr>
            <w:tcW w:w="2693" w:type="dxa"/>
            <w:shd w:val="clear" w:color="auto" w:fill="DEEAF6" w:themeFill="accent1" w:themeFillTint="33"/>
            <w:vAlign w:val="center"/>
          </w:tcPr>
          <w:p w:rsidR="00C42327" w:rsidRPr="00552CA0" w:rsidRDefault="00C42327" w:rsidP="0082333B">
            <w:pPr>
              <w:jc w:val="center"/>
            </w:pPr>
          </w:p>
        </w:tc>
        <w:tc>
          <w:tcPr>
            <w:tcW w:w="3112" w:type="dxa"/>
            <w:shd w:val="clear" w:color="auto" w:fill="DEEAF6" w:themeFill="accent1" w:themeFillTint="33"/>
            <w:vAlign w:val="center"/>
          </w:tcPr>
          <w:p w:rsidR="00C42327" w:rsidRPr="00552CA0" w:rsidRDefault="00C42327" w:rsidP="0082333B">
            <w:pPr>
              <w:jc w:val="center"/>
            </w:pPr>
          </w:p>
        </w:tc>
      </w:tr>
      <w:tr w:rsidR="00C42327" w:rsidTr="00474ECF">
        <w:tc>
          <w:tcPr>
            <w:tcW w:w="3823" w:type="dxa"/>
            <w:shd w:val="clear" w:color="auto" w:fill="DEEAF6" w:themeFill="accent1" w:themeFillTint="33"/>
            <w:vAlign w:val="center"/>
          </w:tcPr>
          <w:p w:rsidR="00C42327" w:rsidRPr="00C42327" w:rsidRDefault="00C42327" w:rsidP="0082333B">
            <w:pPr>
              <w:jc w:val="center"/>
            </w:pPr>
            <w:r w:rsidRPr="00C42327">
              <w:t>n. 152 verifiche di compilazione</w:t>
            </w:r>
          </w:p>
        </w:tc>
        <w:tc>
          <w:tcPr>
            <w:tcW w:w="2693" w:type="dxa"/>
            <w:shd w:val="clear" w:color="auto" w:fill="DEEAF6" w:themeFill="accent1" w:themeFillTint="33"/>
            <w:vAlign w:val="center"/>
          </w:tcPr>
          <w:p w:rsidR="00C42327" w:rsidRPr="00552CA0" w:rsidRDefault="00C42327" w:rsidP="0082333B">
            <w:pPr>
              <w:jc w:val="center"/>
            </w:pPr>
            <w:r>
              <w:t>n. 149 (98%)</w:t>
            </w:r>
          </w:p>
        </w:tc>
        <w:tc>
          <w:tcPr>
            <w:tcW w:w="3112" w:type="dxa"/>
            <w:shd w:val="clear" w:color="auto" w:fill="DEEAF6" w:themeFill="accent1" w:themeFillTint="33"/>
            <w:vAlign w:val="center"/>
          </w:tcPr>
          <w:p w:rsidR="00C42327" w:rsidRPr="00552CA0" w:rsidRDefault="00C42327" w:rsidP="0082333B">
            <w:pPr>
              <w:jc w:val="center"/>
            </w:pPr>
            <w:r>
              <w:t>n. 3 (2%)</w:t>
            </w:r>
          </w:p>
        </w:tc>
      </w:tr>
      <w:tr w:rsidR="00552CA0" w:rsidTr="00474ECF">
        <w:tc>
          <w:tcPr>
            <w:tcW w:w="3823" w:type="dxa"/>
            <w:shd w:val="clear" w:color="auto" w:fill="BDD6EE" w:themeFill="accent1" w:themeFillTint="66"/>
            <w:vAlign w:val="center"/>
          </w:tcPr>
          <w:p w:rsidR="00552CA0" w:rsidRPr="00552CA0" w:rsidRDefault="00DC666F" w:rsidP="00C42327">
            <w:pPr>
              <w:jc w:val="center"/>
              <w:rPr>
                <w:b/>
              </w:rPr>
            </w:pPr>
            <w:r>
              <w:rPr>
                <w:b/>
              </w:rPr>
              <w:t xml:space="preserve">Anno 2020 </w:t>
            </w:r>
          </w:p>
        </w:tc>
        <w:tc>
          <w:tcPr>
            <w:tcW w:w="2693" w:type="dxa"/>
            <w:shd w:val="clear" w:color="auto" w:fill="BDD6EE" w:themeFill="accent1" w:themeFillTint="66"/>
            <w:vAlign w:val="center"/>
          </w:tcPr>
          <w:p w:rsidR="00552CA0" w:rsidRPr="00552CA0" w:rsidRDefault="00552CA0" w:rsidP="0082333B">
            <w:pPr>
              <w:jc w:val="center"/>
            </w:pPr>
          </w:p>
        </w:tc>
        <w:tc>
          <w:tcPr>
            <w:tcW w:w="3112" w:type="dxa"/>
            <w:shd w:val="clear" w:color="auto" w:fill="BDD6EE" w:themeFill="accent1" w:themeFillTint="66"/>
            <w:vAlign w:val="center"/>
          </w:tcPr>
          <w:p w:rsidR="00552CA0" w:rsidRPr="00552CA0" w:rsidRDefault="00552CA0" w:rsidP="0082333B">
            <w:pPr>
              <w:jc w:val="center"/>
            </w:pPr>
          </w:p>
        </w:tc>
      </w:tr>
      <w:tr w:rsidR="00552CA0" w:rsidTr="00474ECF">
        <w:tc>
          <w:tcPr>
            <w:tcW w:w="3823" w:type="dxa"/>
            <w:shd w:val="clear" w:color="auto" w:fill="BDD6EE" w:themeFill="accent1" w:themeFillTint="66"/>
            <w:vAlign w:val="center"/>
          </w:tcPr>
          <w:p w:rsidR="00552CA0" w:rsidRPr="00552CA0" w:rsidRDefault="00C42327" w:rsidP="0082333B">
            <w:pPr>
              <w:jc w:val="center"/>
            </w:pPr>
            <w:r>
              <w:t>n. 254</w:t>
            </w:r>
            <w:r w:rsidR="00552CA0" w:rsidRPr="00552CA0">
              <w:t xml:space="preserve"> verifiche di compilazione</w:t>
            </w:r>
          </w:p>
        </w:tc>
        <w:tc>
          <w:tcPr>
            <w:tcW w:w="2693" w:type="dxa"/>
            <w:shd w:val="clear" w:color="auto" w:fill="BDD6EE" w:themeFill="accent1" w:themeFillTint="66"/>
            <w:vAlign w:val="center"/>
          </w:tcPr>
          <w:p w:rsidR="00552CA0" w:rsidRPr="00552CA0" w:rsidRDefault="00C42327" w:rsidP="0082333B">
            <w:pPr>
              <w:jc w:val="center"/>
            </w:pPr>
            <w:r>
              <w:t>n. 248 (98</w:t>
            </w:r>
            <w:r w:rsidR="00552CA0" w:rsidRPr="00552CA0">
              <w:t>%)</w:t>
            </w:r>
          </w:p>
        </w:tc>
        <w:tc>
          <w:tcPr>
            <w:tcW w:w="3112" w:type="dxa"/>
            <w:shd w:val="clear" w:color="auto" w:fill="BDD6EE" w:themeFill="accent1" w:themeFillTint="66"/>
            <w:vAlign w:val="center"/>
          </w:tcPr>
          <w:p w:rsidR="00552CA0" w:rsidRPr="00552CA0" w:rsidRDefault="00C42327" w:rsidP="0082333B">
            <w:pPr>
              <w:jc w:val="center"/>
            </w:pPr>
            <w:r>
              <w:t>n. 6 (2</w:t>
            </w:r>
            <w:r w:rsidR="00552CA0" w:rsidRPr="00552CA0">
              <w:t>%)</w:t>
            </w:r>
          </w:p>
        </w:tc>
      </w:tr>
      <w:tr w:rsidR="00552CA0" w:rsidTr="00474ECF">
        <w:tc>
          <w:tcPr>
            <w:tcW w:w="3823" w:type="dxa"/>
            <w:shd w:val="clear" w:color="auto" w:fill="DEEAF6" w:themeFill="accent1" w:themeFillTint="33"/>
            <w:vAlign w:val="center"/>
          </w:tcPr>
          <w:p w:rsidR="00552CA0" w:rsidRPr="00552CA0" w:rsidRDefault="00552CA0" w:rsidP="0082333B">
            <w:pPr>
              <w:jc w:val="center"/>
              <w:rPr>
                <w:b/>
              </w:rPr>
            </w:pPr>
            <w:r w:rsidRPr="00552CA0">
              <w:rPr>
                <w:b/>
              </w:rPr>
              <w:t>Anno 2019</w:t>
            </w:r>
          </w:p>
        </w:tc>
        <w:tc>
          <w:tcPr>
            <w:tcW w:w="2693" w:type="dxa"/>
            <w:shd w:val="clear" w:color="auto" w:fill="DEEAF6" w:themeFill="accent1" w:themeFillTint="33"/>
            <w:vAlign w:val="center"/>
          </w:tcPr>
          <w:p w:rsidR="00552CA0" w:rsidRPr="00552CA0" w:rsidRDefault="00552CA0" w:rsidP="0082333B">
            <w:pPr>
              <w:jc w:val="center"/>
            </w:pPr>
          </w:p>
        </w:tc>
        <w:tc>
          <w:tcPr>
            <w:tcW w:w="3112" w:type="dxa"/>
            <w:shd w:val="clear" w:color="auto" w:fill="DEEAF6" w:themeFill="accent1" w:themeFillTint="33"/>
            <w:vAlign w:val="center"/>
          </w:tcPr>
          <w:p w:rsidR="00552CA0" w:rsidRPr="00552CA0" w:rsidRDefault="00552CA0" w:rsidP="0082333B">
            <w:pPr>
              <w:jc w:val="center"/>
            </w:pPr>
          </w:p>
        </w:tc>
      </w:tr>
      <w:tr w:rsidR="00552CA0" w:rsidTr="00474ECF">
        <w:tc>
          <w:tcPr>
            <w:tcW w:w="3823" w:type="dxa"/>
            <w:shd w:val="clear" w:color="auto" w:fill="DEEAF6" w:themeFill="accent1" w:themeFillTint="33"/>
            <w:vAlign w:val="center"/>
          </w:tcPr>
          <w:p w:rsidR="00552CA0" w:rsidRPr="00552CA0" w:rsidRDefault="00552CA0" w:rsidP="0082333B">
            <w:pPr>
              <w:jc w:val="center"/>
            </w:pPr>
            <w:r w:rsidRPr="00552CA0">
              <w:t>n. 250 verifiche di compilazione</w:t>
            </w:r>
          </w:p>
        </w:tc>
        <w:tc>
          <w:tcPr>
            <w:tcW w:w="2693" w:type="dxa"/>
            <w:shd w:val="clear" w:color="auto" w:fill="DEEAF6" w:themeFill="accent1" w:themeFillTint="33"/>
            <w:vAlign w:val="center"/>
          </w:tcPr>
          <w:p w:rsidR="00552CA0" w:rsidRPr="00552CA0" w:rsidRDefault="00552CA0" w:rsidP="0082333B">
            <w:pPr>
              <w:jc w:val="center"/>
            </w:pPr>
            <w:r w:rsidRPr="00552CA0">
              <w:t>n. 247 (99 %)</w:t>
            </w:r>
          </w:p>
        </w:tc>
        <w:tc>
          <w:tcPr>
            <w:tcW w:w="3112" w:type="dxa"/>
            <w:shd w:val="clear" w:color="auto" w:fill="DEEAF6" w:themeFill="accent1" w:themeFillTint="33"/>
            <w:vAlign w:val="center"/>
          </w:tcPr>
          <w:p w:rsidR="00552CA0" w:rsidRPr="00552CA0" w:rsidRDefault="00552CA0" w:rsidP="0082333B">
            <w:pPr>
              <w:jc w:val="center"/>
            </w:pPr>
            <w:r w:rsidRPr="00552CA0">
              <w:t>n. 3 (1 %)</w:t>
            </w:r>
          </w:p>
        </w:tc>
      </w:tr>
      <w:tr w:rsidR="00552CA0" w:rsidTr="00474ECF">
        <w:tc>
          <w:tcPr>
            <w:tcW w:w="3823" w:type="dxa"/>
            <w:shd w:val="clear" w:color="auto" w:fill="BDD6EE" w:themeFill="accent1" w:themeFillTint="66"/>
            <w:vAlign w:val="center"/>
          </w:tcPr>
          <w:p w:rsidR="00552CA0" w:rsidRPr="00552CA0" w:rsidRDefault="00552CA0" w:rsidP="0082333B">
            <w:pPr>
              <w:jc w:val="center"/>
              <w:rPr>
                <w:b/>
              </w:rPr>
            </w:pPr>
            <w:r w:rsidRPr="00552CA0">
              <w:rPr>
                <w:b/>
              </w:rPr>
              <w:t>Anno 2018</w:t>
            </w:r>
          </w:p>
        </w:tc>
        <w:tc>
          <w:tcPr>
            <w:tcW w:w="2693" w:type="dxa"/>
            <w:shd w:val="clear" w:color="auto" w:fill="BDD6EE" w:themeFill="accent1" w:themeFillTint="66"/>
            <w:vAlign w:val="center"/>
          </w:tcPr>
          <w:p w:rsidR="00552CA0" w:rsidRPr="00552CA0" w:rsidRDefault="00552CA0" w:rsidP="0082333B">
            <w:pPr>
              <w:jc w:val="center"/>
            </w:pPr>
          </w:p>
        </w:tc>
        <w:tc>
          <w:tcPr>
            <w:tcW w:w="3112" w:type="dxa"/>
            <w:shd w:val="clear" w:color="auto" w:fill="BDD6EE" w:themeFill="accent1" w:themeFillTint="66"/>
            <w:vAlign w:val="center"/>
          </w:tcPr>
          <w:p w:rsidR="00552CA0" w:rsidRPr="00552CA0" w:rsidRDefault="00552CA0" w:rsidP="0082333B">
            <w:pPr>
              <w:jc w:val="center"/>
            </w:pPr>
          </w:p>
        </w:tc>
      </w:tr>
      <w:tr w:rsidR="00552CA0" w:rsidTr="00474ECF">
        <w:tc>
          <w:tcPr>
            <w:tcW w:w="3823" w:type="dxa"/>
            <w:shd w:val="clear" w:color="auto" w:fill="BDD6EE" w:themeFill="accent1" w:themeFillTint="66"/>
            <w:vAlign w:val="center"/>
          </w:tcPr>
          <w:p w:rsidR="00552CA0" w:rsidRPr="00552CA0" w:rsidRDefault="00552CA0" w:rsidP="0082333B">
            <w:pPr>
              <w:jc w:val="center"/>
            </w:pPr>
            <w:r w:rsidRPr="00552CA0">
              <w:t>n. 101 verifiche di compilazione</w:t>
            </w:r>
          </w:p>
        </w:tc>
        <w:tc>
          <w:tcPr>
            <w:tcW w:w="2693" w:type="dxa"/>
            <w:shd w:val="clear" w:color="auto" w:fill="BDD6EE" w:themeFill="accent1" w:themeFillTint="66"/>
            <w:vAlign w:val="center"/>
          </w:tcPr>
          <w:p w:rsidR="00552CA0" w:rsidRPr="00552CA0" w:rsidRDefault="00552CA0" w:rsidP="0082333B">
            <w:pPr>
              <w:jc w:val="center"/>
            </w:pPr>
            <w:r w:rsidRPr="00552CA0">
              <w:t>n. 94 (93%)</w:t>
            </w:r>
          </w:p>
        </w:tc>
        <w:tc>
          <w:tcPr>
            <w:tcW w:w="3112" w:type="dxa"/>
            <w:shd w:val="clear" w:color="auto" w:fill="BDD6EE" w:themeFill="accent1" w:themeFillTint="66"/>
            <w:vAlign w:val="center"/>
          </w:tcPr>
          <w:p w:rsidR="00552CA0" w:rsidRPr="00552CA0" w:rsidRDefault="00552CA0" w:rsidP="0082333B">
            <w:pPr>
              <w:jc w:val="center"/>
            </w:pPr>
            <w:r w:rsidRPr="00552CA0">
              <w:t>n. 7 (7%)</w:t>
            </w:r>
          </w:p>
        </w:tc>
      </w:tr>
      <w:tr w:rsidR="00552CA0" w:rsidTr="00474ECF">
        <w:tc>
          <w:tcPr>
            <w:tcW w:w="3823" w:type="dxa"/>
            <w:shd w:val="clear" w:color="auto" w:fill="DEEAF6" w:themeFill="accent1" w:themeFillTint="33"/>
            <w:vAlign w:val="center"/>
          </w:tcPr>
          <w:p w:rsidR="00552CA0" w:rsidRPr="00552CA0" w:rsidRDefault="00552CA0" w:rsidP="0082333B">
            <w:pPr>
              <w:jc w:val="center"/>
              <w:rPr>
                <w:b/>
              </w:rPr>
            </w:pPr>
            <w:r w:rsidRPr="00552CA0">
              <w:rPr>
                <w:b/>
              </w:rPr>
              <w:t>Anno 2017</w:t>
            </w:r>
          </w:p>
        </w:tc>
        <w:tc>
          <w:tcPr>
            <w:tcW w:w="2693" w:type="dxa"/>
            <w:shd w:val="clear" w:color="auto" w:fill="DEEAF6" w:themeFill="accent1" w:themeFillTint="33"/>
            <w:vAlign w:val="center"/>
          </w:tcPr>
          <w:p w:rsidR="00552CA0" w:rsidRPr="00552CA0" w:rsidRDefault="00552CA0" w:rsidP="0082333B">
            <w:pPr>
              <w:jc w:val="center"/>
              <w:rPr>
                <w:b/>
              </w:rPr>
            </w:pPr>
          </w:p>
        </w:tc>
        <w:tc>
          <w:tcPr>
            <w:tcW w:w="3112" w:type="dxa"/>
            <w:shd w:val="clear" w:color="auto" w:fill="DEEAF6" w:themeFill="accent1" w:themeFillTint="33"/>
            <w:vAlign w:val="center"/>
          </w:tcPr>
          <w:p w:rsidR="00552CA0" w:rsidRPr="00552CA0" w:rsidRDefault="00552CA0" w:rsidP="0082333B">
            <w:pPr>
              <w:jc w:val="center"/>
              <w:rPr>
                <w:b/>
              </w:rPr>
            </w:pPr>
          </w:p>
        </w:tc>
      </w:tr>
      <w:tr w:rsidR="00552CA0" w:rsidTr="00474ECF">
        <w:tc>
          <w:tcPr>
            <w:tcW w:w="3823" w:type="dxa"/>
            <w:shd w:val="clear" w:color="auto" w:fill="DEEAF6" w:themeFill="accent1" w:themeFillTint="33"/>
            <w:vAlign w:val="center"/>
          </w:tcPr>
          <w:p w:rsidR="00552CA0" w:rsidRPr="00552CA0" w:rsidRDefault="00552CA0" w:rsidP="0082333B">
            <w:pPr>
              <w:jc w:val="center"/>
            </w:pPr>
            <w:r w:rsidRPr="00552CA0">
              <w:t>n. 79 verifiche di compilazione</w:t>
            </w:r>
          </w:p>
        </w:tc>
        <w:tc>
          <w:tcPr>
            <w:tcW w:w="2693" w:type="dxa"/>
            <w:shd w:val="clear" w:color="auto" w:fill="DEEAF6" w:themeFill="accent1" w:themeFillTint="33"/>
            <w:vAlign w:val="center"/>
          </w:tcPr>
          <w:p w:rsidR="00552CA0" w:rsidRPr="00552CA0" w:rsidRDefault="00552CA0" w:rsidP="0082333B">
            <w:pPr>
              <w:jc w:val="center"/>
            </w:pPr>
            <w:r w:rsidRPr="00552CA0">
              <w:t>n. 71 (90 %)</w:t>
            </w:r>
          </w:p>
        </w:tc>
        <w:tc>
          <w:tcPr>
            <w:tcW w:w="3112" w:type="dxa"/>
            <w:shd w:val="clear" w:color="auto" w:fill="DEEAF6" w:themeFill="accent1" w:themeFillTint="33"/>
            <w:vAlign w:val="center"/>
          </w:tcPr>
          <w:p w:rsidR="00552CA0" w:rsidRPr="00552CA0" w:rsidRDefault="00552CA0" w:rsidP="0082333B">
            <w:pPr>
              <w:jc w:val="center"/>
            </w:pPr>
            <w:r w:rsidRPr="00552CA0">
              <w:t>n. 8 (10 %)</w:t>
            </w:r>
          </w:p>
        </w:tc>
      </w:tr>
    </w:tbl>
    <w:p w:rsidR="00896281" w:rsidRDefault="00896281" w:rsidP="00804459">
      <w:pPr>
        <w:spacing w:after="0"/>
        <w:rPr>
          <w:color w:val="C00000"/>
        </w:rPr>
      </w:pPr>
    </w:p>
    <w:p w:rsidR="00896281" w:rsidRPr="001C5100" w:rsidRDefault="009D05CA" w:rsidP="00804459">
      <w:pPr>
        <w:spacing w:after="0"/>
        <w:rPr>
          <w:b/>
        </w:rPr>
      </w:pPr>
      <w:r>
        <w:t xml:space="preserve">  </w:t>
      </w:r>
      <w:r w:rsidRPr="001C5100">
        <w:rPr>
          <w:b/>
        </w:rPr>
        <w:t>f</w:t>
      </w:r>
      <w:r w:rsidR="00896281" w:rsidRPr="001C5100">
        <w:rPr>
          <w:b/>
        </w:rPr>
        <w:t xml:space="preserve">) </w:t>
      </w:r>
      <w:r w:rsidR="00896281" w:rsidRPr="001C5100">
        <w:rPr>
          <w:b/>
          <w:u w:val="single"/>
        </w:rPr>
        <w:t>Gli adempimenti anticorruzione e per la traspare</w:t>
      </w:r>
      <w:r w:rsidR="00DE5813" w:rsidRPr="001C5100">
        <w:rPr>
          <w:b/>
          <w:u w:val="single"/>
        </w:rPr>
        <w:t>nza amministrativa da parte d</w:t>
      </w:r>
      <w:r w:rsidR="00896281" w:rsidRPr="001C5100">
        <w:rPr>
          <w:b/>
          <w:u w:val="single"/>
        </w:rPr>
        <w:t>i</w:t>
      </w:r>
      <w:r w:rsidR="00DE5813" w:rsidRPr="001C5100">
        <w:rPr>
          <w:b/>
          <w:u w:val="single"/>
        </w:rPr>
        <w:t xml:space="preserve"> Società e</w:t>
      </w:r>
      <w:r w:rsidR="00896281" w:rsidRPr="001C5100">
        <w:rPr>
          <w:b/>
          <w:u w:val="single"/>
        </w:rPr>
        <w:t xml:space="preserve"> Enti di diri</w:t>
      </w:r>
      <w:r w:rsidR="004D1BE9" w:rsidRPr="001C5100">
        <w:rPr>
          <w:b/>
          <w:u w:val="single"/>
        </w:rPr>
        <w:t xml:space="preserve">tto </w:t>
      </w:r>
      <w:r w:rsidR="00DE5813" w:rsidRPr="001C5100">
        <w:rPr>
          <w:b/>
          <w:u w:val="single"/>
        </w:rPr>
        <w:t xml:space="preserve">privato </w:t>
      </w:r>
      <w:r w:rsidR="004D1BE9" w:rsidRPr="001C5100">
        <w:rPr>
          <w:b/>
          <w:u w:val="single"/>
        </w:rPr>
        <w:t>partecipati dall’Università</w:t>
      </w:r>
    </w:p>
    <w:p w:rsidR="00896281" w:rsidRPr="00B9440F" w:rsidRDefault="00896281" w:rsidP="00D10B59">
      <w:pPr>
        <w:spacing w:after="0"/>
        <w:jc w:val="both"/>
      </w:pPr>
      <w:r w:rsidRPr="00B9440F">
        <w:t xml:space="preserve">Preliminarmente </w:t>
      </w:r>
      <w:r w:rsidR="00D10B59">
        <w:t>si ricorda</w:t>
      </w:r>
      <w:r w:rsidRPr="00B9440F">
        <w:t xml:space="preserve"> che nel mese di febbraio 2018 il RPCT ha inviato a tutte le società ed enti partecipati dall'Università una nota</w:t>
      </w:r>
      <w:r w:rsidRPr="00B9440F">
        <w:rPr>
          <w:vertAlign w:val="superscript"/>
        </w:rPr>
        <w:footnoteReference w:id="11"/>
      </w:r>
      <w:r w:rsidRPr="00B9440F">
        <w:t xml:space="preserve"> per richiamare l'attenzione agli adempimenti a cui tali soggetti sono tenuti ai sensi della L. 190/2012 e del d.lgs. 33/2013. </w:t>
      </w:r>
    </w:p>
    <w:p w:rsidR="00D10B59" w:rsidRDefault="00D10B59" w:rsidP="00F57727">
      <w:pPr>
        <w:spacing w:after="0"/>
        <w:jc w:val="both"/>
      </w:pPr>
      <w:r>
        <w:t>Nel mese di dicembre 2021</w:t>
      </w:r>
      <w:r w:rsidR="00B9440F" w:rsidRPr="00F57727">
        <w:t xml:space="preserve"> è stato effettuato il monitoraggio attraverso i siti web delle società partecipate e degli enti di diritto privato controllati dall’Ateneo. </w:t>
      </w:r>
      <w:r>
        <w:t xml:space="preserve">Non sono emerse criticità sia per </w:t>
      </w:r>
      <w:r w:rsidR="00B9440F" w:rsidRPr="00F57727">
        <w:t>i quattro Enti di diritto priv</w:t>
      </w:r>
      <w:r>
        <w:t xml:space="preserve">ato controllati, che per le </w:t>
      </w:r>
      <w:r w:rsidR="00F57727">
        <w:t xml:space="preserve">due </w:t>
      </w:r>
      <w:r w:rsidR="00F57727" w:rsidRPr="00F57727">
        <w:t xml:space="preserve">società </w:t>
      </w:r>
      <w:r w:rsidR="00B9440F" w:rsidRPr="00F57727">
        <w:t>partecipate</w:t>
      </w:r>
      <w:r>
        <w:t>.</w:t>
      </w:r>
      <w:r w:rsidR="00B9440F" w:rsidRPr="00F57727">
        <w:t xml:space="preserve"> </w:t>
      </w:r>
    </w:p>
    <w:p w:rsidR="00896281" w:rsidRPr="00896281" w:rsidRDefault="00896281" w:rsidP="00804459">
      <w:pPr>
        <w:spacing w:after="0"/>
        <w:rPr>
          <w:color w:val="C00000"/>
        </w:rPr>
      </w:pPr>
    </w:p>
    <w:p w:rsidR="00896281" w:rsidRPr="0085005C" w:rsidRDefault="00896281" w:rsidP="00804459">
      <w:pPr>
        <w:spacing w:after="0"/>
        <w:rPr>
          <w:b/>
          <w:color w:val="0070C0"/>
        </w:rPr>
      </w:pPr>
      <w:r w:rsidRPr="0085005C">
        <w:rPr>
          <w:b/>
          <w:color w:val="0070C0"/>
        </w:rPr>
        <w:t>• Mappatura dei processi</w:t>
      </w:r>
    </w:p>
    <w:p w:rsidR="00896281" w:rsidRPr="0085005C" w:rsidRDefault="00896281" w:rsidP="00C46FE9">
      <w:pPr>
        <w:spacing w:after="0"/>
        <w:jc w:val="both"/>
      </w:pPr>
      <w:r w:rsidRPr="0085005C">
        <w:t>L’Università degli Studi di Siena, nell’ambito del proprio piano della performance, ha previsto di procedere con la reingegnerizzazione dei processi, finalizzata alla semplificazione dell’organizzazione dei servizi amministrativi e tecnici, al fine di accrescere l’efficacia e l’efficienza dell’azione amministrativa.</w:t>
      </w:r>
    </w:p>
    <w:p w:rsidR="00896281" w:rsidRPr="0085005C" w:rsidRDefault="008211BE" w:rsidP="00C46FE9">
      <w:pPr>
        <w:spacing w:after="0"/>
        <w:jc w:val="both"/>
      </w:pPr>
      <w:r w:rsidRPr="0085005C">
        <w:t xml:space="preserve">Il </w:t>
      </w:r>
      <w:r w:rsidR="00896281" w:rsidRPr="0085005C">
        <w:t>servizio di supporto specialistico per l’analisi organizzativa, la mappatura e la reingegnerizzazione dei processi amministrativi dell’U</w:t>
      </w:r>
      <w:r w:rsidR="00C46FE9" w:rsidRPr="0085005C">
        <w:t>niversità</w:t>
      </w:r>
      <w:r w:rsidRPr="0085005C">
        <w:t xml:space="preserve"> è stato assegnato alla </w:t>
      </w:r>
      <w:r w:rsidR="00896281" w:rsidRPr="0085005C">
        <w:t>società PRAXI spa</w:t>
      </w:r>
      <w:r w:rsidR="00896281" w:rsidRPr="0085005C">
        <w:rPr>
          <w:vertAlign w:val="superscript"/>
        </w:rPr>
        <w:footnoteReference w:id="12"/>
      </w:r>
      <w:r w:rsidR="00896281" w:rsidRPr="0085005C">
        <w:t xml:space="preserve">. Tra i servizi che la PRAXI </w:t>
      </w:r>
      <w:r w:rsidR="00C46FE9" w:rsidRPr="0085005C">
        <w:t xml:space="preserve">si </w:t>
      </w:r>
      <w:r w:rsidR="00C46FE9" w:rsidRPr="0085005C">
        <w:lastRenderedPageBreak/>
        <w:t>è impegnata a fornire</w:t>
      </w:r>
      <w:r w:rsidR="00896281" w:rsidRPr="0085005C">
        <w:t xml:space="preserve"> all’Università c’è anche la formazione del personale dell’Ateneo, in modo che l’attività di mappatu</w:t>
      </w:r>
      <w:r w:rsidR="00C46FE9" w:rsidRPr="0085005C">
        <w:t xml:space="preserve">ra dei processi </w:t>
      </w:r>
      <w:r w:rsidR="00896281" w:rsidRPr="0085005C">
        <w:t>possa proseguire in autonomia.</w:t>
      </w:r>
    </w:p>
    <w:p w:rsidR="00896281" w:rsidRPr="0085005C" w:rsidRDefault="008211BE" w:rsidP="00A168DC">
      <w:pPr>
        <w:spacing w:after="0"/>
        <w:jc w:val="both"/>
      </w:pPr>
      <w:r w:rsidRPr="0085005C">
        <w:t>I lavori sono stati avviati all’inizio del</w:t>
      </w:r>
      <w:r w:rsidR="00896281" w:rsidRPr="0085005C">
        <w:t xml:space="preserve"> 2</w:t>
      </w:r>
      <w:r w:rsidRPr="0085005C">
        <w:t>019.</w:t>
      </w:r>
      <w:r w:rsidR="00896281" w:rsidRPr="0085005C">
        <w:t xml:space="preserve"> La prima fase ha riguardato la rilevazione delle macro attività di ogni singola Unità Organizzativa, per poi andare oltre all’impostazione organizzativa funzionale, che è stata inevitabilmente alla base della prima fase del progetto. </w:t>
      </w:r>
    </w:p>
    <w:p w:rsidR="007045EB" w:rsidRPr="0085005C" w:rsidRDefault="00896281" w:rsidP="00A168DC">
      <w:pPr>
        <w:spacing w:after="0"/>
        <w:jc w:val="both"/>
      </w:pPr>
      <w:r w:rsidRPr="0085005C">
        <w:rPr>
          <w:bCs/>
        </w:rPr>
        <w:t>I primi 5 processi mappati sono:</w:t>
      </w:r>
      <w:r w:rsidR="00E067B0" w:rsidRPr="0085005C">
        <w:t xml:space="preserve"> </w:t>
      </w:r>
      <w:r w:rsidRPr="0085005C">
        <w:rPr>
          <w:bCs/>
        </w:rPr>
        <w:t>Rilevazione delle attività di docenza;</w:t>
      </w:r>
      <w:r w:rsidR="00E067B0" w:rsidRPr="0085005C">
        <w:t xml:space="preserve"> </w:t>
      </w:r>
      <w:r w:rsidRPr="0085005C">
        <w:rPr>
          <w:bCs/>
        </w:rPr>
        <w:t xml:space="preserve">Erogazione borse di ricerca bandite da </w:t>
      </w:r>
      <w:proofErr w:type="spellStart"/>
      <w:r w:rsidRPr="0085005C">
        <w:rPr>
          <w:bCs/>
        </w:rPr>
        <w:t>UniSi</w:t>
      </w:r>
      <w:proofErr w:type="spellEnd"/>
      <w:r w:rsidRPr="0085005C">
        <w:rPr>
          <w:bCs/>
        </w:rPr>
        <w:t>;</w:t>
      </w:r>
      <w:r w:rsidR="00E067B0" w:rsidRPr="0085005C">
        <w:t xml:space="preserve"> </w:t>
      </w:r>
      <w:r w:rsidRPr="0085005C">
        <w:rPr>
          <w:bCs/>
        </w:rPr>
        <w:t>Internazionalizzazione degli studenti;</w:t>
      </w:r>
      <w:r w:rsidR="00E067B0" w:rsidRPr="0085005C">
        <w:t xml:space="preserve"> </w:t>
      </w:r>
      <w:r w:rsidRPr="0085005C">
        <w:rPr>
          <w:bCs/>
        </w:rPr>
        <w:t>Missioni del personale e rimborsi spese;</w:t>
      </w:r>
      <w:r w:rsidR="00E067B0" w:rsidRPr="0085005C">
        <w:t xml:space="preserve"> </w:t>
      </w:r>
      <w:r w:rsidRPr="0085005C">
        <w:rPr>
          <w:bCs/>
        </w:rPr>
        <w:t>Gestione conseguimento titolo di studio.</w:t>
      </w:r>
      <w:r w:rsidR="0085005C" w:rsidRPr="0085005C">
        <w:t xml:space="preserve"> P</w:t>
      </w:r>
      <w:r w:rsidR="00A168DC" w:rsidRPr="0085005C">
        <w:rPr>
          <w:bCs/>
        </w:rPr>
        <w:t xml:space="preserve">urtroppo </w:t>
      </w:r>
      <w:r w:rsidR="00F52F81" w:rsidRPr="0085005C">
        <w:rPr>
          <w:bCs/>
        </w:rPr>
        <w:t>la situazione creatasi con l</w:t>
      </w:r>
      <w:r w:rsidR="00DC666F" w:rsidRPr="0085005C">
        <w:rPr>
          <w:bCs/>
        </w:rPr>
        <w:t>’emergenza COVID</w:t>
      </w:r>
      <w:r w:rsidR="008211BE" w:rsidRPr="0085005C">
        <w:rPr>
          <w:bCs/>
        </w:rPr>
        <w:t xml:space="preserve"> ha </w:t>
      </w:r>
      <w:r w:rsidR="007045EB" w:rsidRPr="0085005C">
        <w:rPr>
          <w:bCs/>
        </w:rPr>
        <w:t>messo momentaneamente in stand by</w:t>
      </w:r>
      <w:r w:rsidR="0085005C" w:rsidRPr="0085005C">
        <w:rPr>
          <w:bCs/>
        </w:rPr>
        <w:t xml:space="preserve"> le programmate attività per la mappatura dei processi</w:t>
      </w:r>
    </w:p>
    <w:p w:rsidR="00896281" w:rsidRPr="00896281" w:rsidRDefault="00896281" w:rsidP="00804459">
      <w:pPr>
        <w:spacing w:after="0"/>
        <w:rPr>
          <w:b/>
          <w:color w:val="C00000"/>
        </w:rPr>
      </w:pPr>
    </w:p>
    <w:p w:rsidR="00896281" w:rsidRDefault="00896281" w:rsidP="00804459">
      <w:pPr>
        <w:spacing w:after="0"/>
        <w:rPr>
          <w:b/>
          <w:bCs/>
          <w:iCs/>
          <w:color w:val="0070C0"/>
        </w:rPr>
      </w:pPr>
      <w:r w:rsidRPr="008B5D67">
        <w:rPr>
          <w:b/>
          <w:bCs/>
          <w:iCs/>
          <w:color w:val="0070C0"/>
        </w:rPr>
        <w:t>• Formazione del personale</w:t>
      </w:r>
    </w:p>
    <w:p w:rsidR="008B5D67" w:rsidRPr="008B5D67" w:rsidRDefault="008B5D67" w:rsidP="0085005C">
      <w:pPr>
        <w:spacing w:after="0"/>
        <w:jc w:val="both"/>
        <w:rPr>
          <w:bCs/>
          <w:iCs/>
        </w:rPr>
      </w:pPr>
      <w:r>
        <w:rPr>
          <w:bCs/>
          <w:iCs/>
        </w:rPr>
        <w:t>L</w:t>
      </w:r>
      <w:r w:rsidRPr="008B5D67">
        <w:rPr>
          <w:bCs/>
          <w:iCs/>
        </w:rPr>
        <w:t xml:space="preserve">e attività formative </w:t>
      </w:r>
      <w:r>
        <w:rPr>
          <w:bCs/>
          <w:iCs/>
        </w:rPr>
        <w:t>sono state</w:t>
      </w:r>
      <w:r w:rsidRPr="008B5D67">
        <w:rPr>
          <w:bCs/>
          <w:iCs/>
        </w:rPr>
        <w:t xml:space="preserve"> realizzate sia attraverso corsi specificatamente pensati per l’ambito anticorruzione </w:t>
      </w:r>
      <w:r>
        <w:rPr>
          <w:bCs/>
          <w:iCs/>
        </w:rPr>
        <w:t xml:space="preserve">e trasparenza, sia attraverso </w:t>
      </w:r>
      <w:r w:rsidRPr="008B5D67">
        <w:rPr>
          <w:bCs/>
          <w:iCs/>
        </w:rPr>
        <w:t>corsi rivolti a</w:t>
      </w:r>
      <w:r>
        <w:rPr>
          <w:bCs/>
          <w:iCs/>
        </w:rPr>
        <w:t>l</w:t>
      </w:r>
      <w:r w:rsidRPr="008B5D67">
        <w:rPr>
          <w:bCs/>
          <w:iCs/>
        </w:rPr>
        <w:t xml:space="preserve"> personal</w:t>
      </w:r>
      <w:r w:rsidR="00634DF7">
        <w:rPr>
          <w:bCs/>
          <w:iCs/>
        </w:rPr>
        <w:t>e che opera in settori riguardanti le Aree di rischio</w:t>
      </w:r>
      <w:r w:rsidRPr="008B5D67">
        <w:rPr>
          <w:bCs/>
          <w:iCs/>
        </w:rPr>
        <w:t>, avendo cura di verificare che siano trattate le attività considerate a rischio medio – elevato, sulla base dell</w:t>
      </w:r>
      <w:r>
        <w:rPr>
          <w:bCs/>
          <w:iCs/>
        </w:rPr>
        <w:t xml:space="preserve">’analisi descritta nel </w:t>
      </w:r>
      <w:r w:rsidRPr="008B5D67">
        <w:rPr>
          <w:bCs/>
          <w:iCs/>
        </w:rPr>
        <w:t>Piano</w:t>
      </w:r>
      <w:r>
        <w:rPr>
          <w:bCs/>
          <w:iCs/>
        </w:rPr>
        <w:t xml:space="preserve"> triennale per la prevenzione della corruzione e per la trasparenza.</w:t>
      </w:r>
    </w:p>
    <w:p w:rsidR="008B5D67" w:rsidRPr="008B5D67" w:rsidRDefault="008B5D67" w:rsidP="008B5D67">
      <w:pPr>
        <w:spacing w:after="0"/>
        <w:jc w:val="both"/>
        <w:rPr>
          <w:bCs/>
          <w:iCs/>
        </w:rPr>
      </w:pPr>
      <w:r w:rsidRPr="008B5D67">
        <w:rPr>
          <w:bCs/>
          <w:iCs/>
        </w:rPr>
        <w:t xml:space="preserve">Nel corso del 2021 </w:t>
      </w:r>
      <w:r w:rsidR="0085005C">
        <w:rPr>
          <w:bCs/>
          <w:iCs/>
        </w:rPr>
        <w:t>al</w:t>
      </w:r>
      <w:r w:rsidRPr="008B5D67">
        <w:rPr>
          <w:bCs/>
          <w:iCs/>
        </w:rPr>
        <w:t xml:space="preserve">le iniziative proposte e realizzate in materia di prevenzione della corruzione e trasparenza </w:t>
      </w:r>
      <w:r w:rsidR="0085005C">
        <w:rPr>
          <w:bCs/>
          <w:iCs/>
        </w:rPr>
        <w:t>hanno partecipato 207 persone, i corsi hanno riguardato</w:t>
      </w:r>
      <w:r w:rsidRPr="008B5D67">
        <w:rPr>
          <w:bCs/>
          <w:iCs/>
        </w:rPr>
        <w:t>:</w:t>
      </w:r>
    </w:p>
    <w:p w:rsidR="008B5D67" w:rsidRPr="008B5D67" w:rsidRDefault="008B5D67" w:rsidP="008B5D67">
      <w:pPr>
        <w:spacing w:after="0"/>
        <w:jc w:val="both"/>
        <w:rPr>
          <w:bCs/>
          <w:iCs/>
        </w:rPr>
      </w:pPr>
      <w:r w:rsidRPr="008B5D67">
        <w:rPr>
          <w:bCs/>
          <w:iCs/>
        </w:rPr>
        <w:t xml:space="preserve">• L’implementazione del nuovo sistema di gestione dei rischi corruttivi del Piano Nazionale Anticorruzione: indicazioni operative; </w:t>
      </w:r>
    </w:p>
    <w:p w:rsidR="008B5D67" w:rsidRPr="008B5D67" w:rsidRDefault="008B5D67" w:rsidP="008B5D67">
      <w:pPr>
        <w:spacing w:after="0"/>
        <w:jc w:val="both"/>
        <w:rPr>
          <w:bCs/>
          <w:iCs/>
        </w:rPr>
      </w:pPr>
      <w:r w:rsidRPr="008B5D67">
        <w:rPr>
          <w:bCs/>
          <w:iCs/>
        </w:rPr>
        <w:t>• Project management;</w:t>
      </w:r>
    </w:p>
    <w:p w:rsidR="008B5D67" w:rsidRPr="008B5D67" w:rsidRDefault="008B5D67" w:rsidP="008B5D67">
      <w:pPr>
        <w:spacing w:after="0"/>
        <w:jc w:val="both"/>
        <w:rPr>
          <w:bCs/>
          <w:iCs/>
        </w:rPr>
      </w:pPr>
      <w:r w:rsidRPr="008B5D67">
        <w:rPr>
          <w:bCs/>
          <w:iCs/>
        </w:rPr>
        <w:t>• Analisi economica dei contratti pubblici</w:t>
      </w:r>
    </w:p>
    <w:p w:rsidR="008B5D67" w:rsidRPr="008B5D67" w:rsidRDefault="008B5D67" w:rsidP="008B5D67">
      <w:pPr>
        <w:spacing w:after="0"/>
        <w:jc w:val="both"/>
        <w:rPr>
          <w:bCs/>
          <w:iCs/>
        </w:rPr>
      </w:pPr>
      <w:r w:rsidRPr="008B5D67">
        <w:rPr>
          <w:bCs/>
          <w:iCs/>
        </w:rPr>
        <w:t>• Giornata della Trasparenza 2021 (il sistema della trasparenza, i contratti pubblici, performance e trasparenza);</w:t>
      </w:r>
    </w:p>
    <w:p w:rsidR="008B5D67" w:rsidRPr="008B5D67" w:rsidRDefault="008B5D67" w:rsidP="008B5D67">
      <w:pPr>
        <w:spacing w:after="0"/>
        <w:jc w:val="both"/>
        <w:rPr>
          <w:bCs/>
          <w:iCs/>
        </w:rPr>
      </w:pPr>
      <w:r w:rsidRPr="008B5D67">
        <w:rPr>
          <w:bCs/>
          <w:iCs/>
        </w:rPr>
        <w:t>• Gestione e protezione dati personali.</w:t>
      </w:r>
    </w:p>
    <w:p w:rsidR="008B5D67" w:rsidRPr="008B5D67" w:rsidRDefault="008B5D67" w:rsidP="008B5D67">
      <w:pPr>
        <w:spacing w:after="0"/>
        <w:jc w:val="both"/>
        <w:rPr>
          <w:bCs/>
          <w:iCs/>
        </w:rPr>
      </w:pPr>
      <w:r w:rsidRPr="008B5D67">
        <w:rPr>
          <w:bCs/>
          <w:iCs/>
        </w:rPr>
        <w:t>• La protezione dei dispositivi informatici;</w:t>
      </w:r>
    </w:p>
    <w:p w:rsidR="008B5D67" w:rsidRPr="008B5D67" w:rsidRDefault="008B5D67" w:rsidP="008B5D67">
      <w:pPr>
        <w:spacing w:after="0"/>
        <w:jc w:val="both"/>
        <w:rPr>
          <w:bCs/>
          <w:iCs/>
        </w:rPr>
      </w:pPr>
      <w:r w:rsidRPr="008B5D67">
        <w:rPr>
          <w:bCs/>
          <w:iCs/>
        </w:rPr>
        <w:t>• La gestione del trattamento dei dati personali degli studenti tra esigenza di riservatezza e obblighi di trasparenza;</w:t>
      </w:r>
    </w:p>
    <w:p w:rsidR="008B5D67" w:rsidRPr="008B5D67" w:rsidRDefault="008B5D67" w:rsidP="008B5D67">
      <w:pPr>
        <w:spacing w:after="0"/>
        <w:jc w:val="both"/>
        <w:rPr>
          <w:bCs/>
          <w:iCs/>
        </w:rPr>
      </w:pPr>
      <w:r w:rsidRPr="008B5D67">
        <w:rPr>
          <w:bCs/>
          <w:iCs/>
        </w:rPr>
        <w:t>• Progetti di ricerca – aspetti contrattuali e contabili;</w:t>
      </w:r>
    </w:p>
    <w:p w:rsidR="008B5D67" w:rsidRPr="008B5D67" w:rsidRDefault="008B5D67" w:rsidP="008B5D67">
      <w:pPr>
        <w:spacing w:after="0"/>
        <w:jc w:val="both"/>
        <w:rPr>
          <w:bCs/>
          <w:iCs/>
        </w:rPr>
      </w:pPr>
      <w:r w:rsidRPr="008B5D67">
        <w:rPr>
          <w:bCs/>
          <w:iCs/>
        </w:rPr>
        <w:t>• Come rendere i concorsi pubblici accessibili a tutti;</w:t>
      </w:r>
    </w:p>
    <w:p w:rsidR="008B5D67" w:rsidRPr="008B5D67" w:rsidRDefault="008B5D67" w:rsidP="008B5D67">
      <w:pPr>
        <w:spacing w:after="0"/>
        <w:jc w:val="both"/>
        <w:rPr>
          <w:bCs/>
          <w:iCs/>
        </w:rPr>
      </w:pPr>
      <w:r w:rsidRPr="008B5D67">
        <w:rPr>
          <w:bCs/>
          <w:iCs/>
        </w:rPr>
        <w:t>• I concorsi digitali dopo lo stato di emergenza: come cambieranno le procedure concorsuali nella versione digitale nella fase a regime;</w:t>
      </w:r>
    </w:p>
    <w:p w:rsidR="008B5D67" w:rsidRPr="00F14135" w:rsidRDefault="008B5D67" w:rsidP="008B5D67">
      <w:pPr>
        <w:spacing w:after="0"/>
        <w:jc w:val="both"/>
        <w:rPr>
          <w:bCs/>
          <w:iCs/>
        </w:rPr>
      </w:pPr>
      <w:r w:rsidRPr="008B5D67">
        <w:rPr>
          <w:bCs/>
          <w:iCs/>
        </w:rPr>
        <w:t>• Progetto Sinallagma: procedure documenti e software per la gestione digitale di contratti e convenzioni nelle Università e negli Enti pubblici di ricerca.</w:t>
      </w:r>
    </w:p>
    <w:p w:rsidR="00896281" w:rsidRPr="00896281" w:rsidRDefault="00896281" w:rsidP="00804459">
      <w:pPr>
        <w:spacing w:after="0"/>
        <w:rPr>
          <w:bCs/>
          <w:iCs/>
          <w:color w:val="C00000"/>
        </w:rPr>
      </w:pPr>
    </w:p>
    <w:p w:rsidR="000A2290" w:rsidRPr="008B5D67" w:rsidRDefault="000A2290" w:rsidP="00804459">
      <w:pPr>
        <w:spacing w:after="0"/>
        <w:rPr>
          <w:b/>
          <w:bCs/>
          <w:iCs/>
          <w:color w:val="0070C0"/>
        </w:rPr>
      </w:pPr>
      <w:r w:rsidRPr="008B5D67">
        <w:rPr>
          <w:b/>
          <w:bCs/>
          <w:iCs/>
          <w:color w:val="0070C0"/>
        </w:rPr>
        <w:t>• Rotazione del personale</w:t>
      </w:r>
    </w:p>
    <w:p w:rsidR="00FC4F9C" w:rsidRPr="00613CA8" w:rsidRDefault="000A2290" w:rsidP="00613CA8">
      <w:pPr>
        <w:spacing w:after="0"/>
        <w:jc w:val="both"/>
        <w:rPr>
          <w:bCs/>
          <w:iCs/>
        </w:rPr>
      </w:pPr>
      <w:r w:rsidRPr="00613CA8">
        <w:rPr>
          <w:bCs/>
          <w:iCs/>
        </w:rPr>
        <w:t>L'Università di Siena, reduce da un periodo decennale di forti tensioni finanziarie, solo nel 2017, con la volontà di ridare funzionalità all’architettura organizzativa e amministrativa, adeguandola alla complessità gestionale dell’Ateneo, ha potuto procedere al reclutamento di nuove pr</w:t>
      </w:r>
      <w:r w:rsidR="00FC4F9C" w:rsidRPr="00613CA8">
        <w:rPr>
          <w:bCs/>
          <w:iCs/>
        </w:rPr>
        <w:t>ofessionalità. Tra esse</w:t>
      </w:r>
      <w:r w:rsidRPr="00613CA8">
        <w:rPr>
          <w:bCs/>
          <w:iCs/>
        </w:rPr>
        <w:t xml:space="preserve"> le assunzioni di tre dirigenti per le aree amministrative di particolare interesse per la </w:t>
      </w:r>
      <w:proofErr w:type="spellStart"/>
      <w:r w:rsidRPr="00613CA8">
        <w:rPr>
          <w:bCs/>
          <w:i/>
          <w:iCs/>
        </w:rPr>
        <w:t>mission</w:t>
      </w:r>
      <w:proofErr w:type="spellEnd"/>
      <w:r w:rsidR="00EB4861" w:rsidRPr="00613CA8">
        <w:rPr>
          <w:bCs/>
          <w:iCs/>
        </w:rPr>
        <w:t xml:space="preserve"> dell’Università. A</w:t>
      </w:r>
      <w:r w:rsidR="00FC4F9C" w:rsidRPr="00613CA8">
        <w:rPr>
          <w:bCs/>
          <w:iCs/>
        </w:rPr>
        <w:t>ll’</w:t>
      </w:r>
      <w:r w:rsidR="00EB4861" w:rsidRPr="00613CA8">
        <w:rPr>
          <w:bCs/>
          <w:iCs/>
        </w:rPr>
        <w:t>inizio del 2020</w:t>
      </w:r>
      <w:r w:rsidR="00FC4F9C" w:rsidRPr="00613CA8">
        <w:rPr>
          <w:bCs/>
          <w:iCs/>
        </w:rPr>
        <w:t xml:space="preserve"> l’Università poteva</w:t>
      </w:r>
      <w:r w:rsidRPr="00613CA8">
        <w:rPr>
          <w:bCs/>
          <w:iCs/>
        </w:rPr>
        <w:t xml:space="preserve"> avvaler</w:t>
      </w:r>
      <w:r w:rsidR="00DE5813">
        <w:rPr>
          <w:bCs/>
          <w:iCs/>
        </w:rPr>
        <w:t>si di 4 dirigenti nelle</w:t>
      </w:r>
      <w:r w:rsidRPr="00613CA8">
        <w:rPr>
          <w:bCs/>
          <w:iCs/>
        </w:rPr>
        <w:t xml:space="preserve"> Aree: Servizi allo studente; Ricerca, biblioteche, internazionalizzazione e terza missione; Personale; Organizzazione e sistemi informativi.</w:t>
      </w:r>
      <w:r w:rsidR="00FC4F9C" w:rsidRPr="00613CA8">
        <w:rPr>
          <w:bCs/>
          <w:iCs/>
        </w:rPr>
        <w:t xml:space="preserve"> </w:t>
      </w:r>
      <w:r w:rsidR="00EB4861" w:rsidRPr="00613CA8">
        <w:rPr>
          <w:bCs/>
          <w:iCs/>
        </w:rPr>
        <w:t>Nel corso dell’anno</w:t>
      </w:r>
      <w:r w:rsidR="00DE5813">
        <w:rPr>
          <w:bCs/>
          <w:iCs/>
        </w:rPr>
        <w:t>2020</w:t>
      </w:r>
      <w:r w:rsidR="00EB4861" w:rsidRPr="00613CA8">
        <w:rPr>
          <w:bCs/>
          <w:iCs/>
        </w:rPr>
        <w:t xml:space="preserve"> la situazione si evolve e da ottobre 2020 l’Università </w:t>
      </w:r>
      <w:r w:rsidR="00DE5813">
        <w:rPr>
          <w:bCs/>
          <w:iCs/>
        </w:rPr>
        <w:t>registra</w:t>
      </w:r>
      <w:r w:rsidR="00EB4861" w:rsidRPr="00613CA8">
        <w:rPr>
          <w:bCs/>
          <w:iCs/>
        </w:rPr>
        <w:t xml:space="preserve"> nel suo organico solo due </w:t>
      </w:r>
      <w:r w:rsidR="00EB4861" w:rsidRPr="00613CA8">
        <w:rPr>
          <w:bCs/>
          <w:iCs/>
        </w:rPr>
        <w:lastRenderedPageBreak/>
        <w:t>dirigenti</w:t>
      </w:r>
      <w:r w:rsidR="00613CA8" w:rsidRPr="00613CA8">
        <w:rPr>
          <w:bCs/>
          <w:iCs/>
        </w:rPr>
        <w:t>,</w:t>
      </w:r>
      <w:r w:rsidR="00EB4861" w:rsidRPr="00613CA8">
        <w:rPr>
          <w:bCs/>
          <w:iCs/>
        </w:rPr>
        <w:t xml:space="preserve"> in quanto i responsabili dell’Area personale e dell’Area organizzazione e sistemi informativi</w:t>
      </w:r>
      <w:r w:rsidR="00613CA8" w:rsidRPr="00613CA8">
        <w:rPr>
          <w:bCs/>
          <w:iCs/>
        </w:rPr>
        <w:t xml:space="preserve"> hanno preso servizio in altri enti.</w:t>
      </w:r>
      <w:r w:rsidR="00DE5813">
        <w:rPr>
          <w:bCs/>
          <w:iCs/>
        </w:rPr>
        <w:t xml:space="preserve"> Nel 2021 va in pensione il dirigente dell’Area Servizi allo studente, per cui alla fine del 2021 </w:t>
      </w:r>
      <w:r w:rsidR="00DE5813" w:rsidRPr="00F01F05">
        <w:rPr>
          <w:bCs/>
          <w:iCs/>
        </w:rPr>
        <w:t>l’unico dirigente in servizio è quello dell’Area Ricerca, biblioteche, internazionalizzazione e terza missione. Nel 2021 per far fronte alla situazione sono stati emessi due bandi per il reclutamento di un dirigente per l’Area servizi allo Studente, il cui iter è ancora in corso, e un altro per l’Area organizzazione e sistemi informativi</w:t>
      </w:r>
      <w:r w:rsidR="008B5D67" w:rsidRPr="00F01F05">
        <w:rPr>
          <w:bCs/>
          <w:iCs/>
        </w:rPr>
        <w:t xml:space="preserve"> già concluso, per cui dall’inizio del 2022 l’Area potrà avvalersi di un dirigente.</w:t>
      </w:r>
      <w:r w:rsidR="00DE5813">
        <w:rPr>
          <w:bCs/>
          <w:iCs/>
        </w:rPr>
        <w:t xml:space="preserve">  </w:t>
      </w:r>
    </w:p>
    <w:p w:rsidR="000A2290" w:rsidRPr="00FC4F9C" w:rsidRDefault="000A2290" w:rsidP="00FC4F9C">
      <w:pPr>
        <w:spacing w:after="0"/>
        <w:jc w:val="both"/>
        <w:rPr>
          <w:bCs/>
          <w:iCs/>
          <w:lang w:bidi="it-IT"/>
        </w:rPr>
      </w:pPr>
      <w:r w:rsidRPr="00FC4F9C">
        <w:rPr>
          <w:bCs/>
          <w:iCs/>
        </w:rPr>
        <w:t xml:space="preserve">Stante la situazione in atto, </w:t>
      </w:r>
      <w:r w:rsidRPr="00FC4F9C">
        <w:rPr>
          <w:bCs/>
          <w:iCs/>
          <w:lang w:bidi="it-IT"/>
        </w:rPr>
        <w:t xml:space="preserve">una volta completato il processo di mappatura dei rischi, il Direttore Generale ed i Dirigenti analizzeranno l’eventuale necessità di interventi nelle aree critiche e, nell’ambito degli interventi organizzativi, definiranno la rotazione dei dipendenti. </w:t>
      </w:r>
      <w:r w:rsidR="00E067B0">
        <w:rPr>
          <w:bCs/>
          <w:iCs/>
          <w:lang w:bidi="it-IT"/>
        </w:rPr>
        <w:t xml:space="preserve"> </w:t>
      </w:r>
      <w:r w:rsidR="00FC4F9C" w:rsidRPr="00FC4F9C">
        <w:rPr>
          <w:bCs/>
          <w:iCs/>
          <w:lang w:bidi="it-IT"/>
        </w:rPr>
        <w:t xml:space="preserve">La rotazione sarà sempre </w:t>
      </w:r>
      <w:r w:rsidRPr="00FC4F9C">
        <w:rPr>
          <w:bCs/>
          <w:iCs/>
          <w:lang w:bidi="it-IT"/>
        </w:rPr>
        <w:t>finalizzata all’esigenza di perseguire una maggiore efficienza ed efficacia dei servizi, con effetti positivi, a cascata, anche sulla crescita professionale dei dipendenti.</w:t>
      </w:r>
    </w:p>
    <w:p w:rsidR="00E067B0" w:rsidRPr="00FC4F9C" w:rsidRDefault="00E067B0" w:rsidP="00804459">
      <w:pPr>
        <w:spacing w:after="0"/>
        <w:rPr>
          <w:bCs/>
          <w:iCs/>
          <w:lang w:bidi="it-IT"/>
        </w:rPr>
      </w:pPr>
    </w:p>
    <w:p w:rsidR="005D5422" w:rsidRPr="005F71FC" w:rsidRDefault="000A2290" w:rsidP="00804459">
      <w:pPr>
        <w:spacing w:after="0"/>
        <w:rPr>
          <w:b/>
          <w:bCs/>
          <w:iCs/>
          <w:color w:val="0070C0"/>
        </w:rPr>
      </w:pPr>
      <w:r w:rsidRPr="005F71FC">
        <w:rPr>
          <w:b/>
          <w:bCs/>
          <w:iCs/>
          <w:color w:val="0070C0"/>
        </w:rPr>
        <w:t>• Inconferibilità e incompatibilità per incarichi dirigenziali d.lgs. 39/13</w:t>
      </w:r>
    </w:p>
    <w:p w:rsidR="00357418" w:rsidRDefault="000A2290" w:rsidP="00F01F05">
      <w:pPr>
        <w:spacing w:after="0"/>
        <w:jc w:val="both"/>
        <w:rPr>
          <w:bCs/>
          <w:iCs/>
          <w:color w:val="000000" w:themeColor="text1"/>
        </w:rPr>
      </w:pPr>
      <w:r w:rsidRPr="005D5422">
        <w:rPr>
          <w:bCs/>
          <w:iCs/>
          <w:color w:val="000000" w:themeColor="text1"/>
        </w:rPr>
        <w:t>Nel 2018 l’Università di Siena ha attribuito l’incarico di Direttore Generale. Per il conferimento dell’incarico è stato emesso un avviso di selezione pubblica per titoli e colloquio. In osservanza di quanto previsto dal d.lgs. 39/2013 in relazione ai casi di inconferibilità e incompatibilità degli incarichi dirigenziali presso le pubbliche amministrazioni, il Dirigente ha reso apposita dichiarazione di assenza di situazioni di incompatibilità e inconferibilità. Gli uffici preposti all’acquisizione delle dichiarazioni hanno proceduto alla loro verifica e, quindi, alla pubblicazione nella sezione amministrazione trasparente</w:t>
      </w:r>
      <w:r w:rsidRPr="005D5422">
        <w:rPr>
          <w:bCs/>
          <w:iCs/>
          <w:color w:val="000000" w:themeColor="text1"/>
          <w:vertAlign w:val="superscript"/>
        </w:rPr>
        <w:footnoteReference w:id="13"/>
      </w:r>
      <w:r w:rsidRPr="005D5422">
        <w:rPr>
          <w:bCs/>
          <w:iCs/>
          <w:color w:val="000000" w:themeColor="text1"/>
        </w:rPr>
        <w:t xml:space="preserve"> e informato il RPCT dell’acquisizione e pubblicazione.</w:t>
      </w:r>
      <w:r w:rsidR="00357418">
        <w:rPr>
          <w:bCs/>
          <w:iCs/>
          <w:color w:val="000000" w:themeColor="text1"/>
        </w:rPr>
        <w:t xml:space="preserve"> </w:t>
      </w:r>
    </w:p>
    <w:p w:rsidR="00F01F05" w:rsidRPr="00246BA9" w:rsidRDefault="00F01F05" w:rsidP="00F01F05">
      <w:pPr>
        <w:spacing w:after="0"/>
        <w:jc w:val="both"/>
        <w:rPr>
          <w:bCs/>
          <w:iCs/>
        </w:rPr>
      </w:pPr>
      <w:r w:rsidRPr="00246BA9">
        <w:rPr>
          <w:bCs/>
          <w:iCs/>
        </w:rPr>
        <w:t xml:space="preserve">Nel 2019 non ci sono state assunzioni di personale dirigente, mentre nel 2020 </w:t>
      </w:r>
      <w:r w:rsidR="00B14D07" w:rsidRPr="00246BA9">
        <w:rPr>
          <w:bCs/>
          <w:iCs/>
        </w:rPr>
        <w:t xml:space="preserve">c’è stata l’assunzione </w:t>
      </w:r>
      <w:r w:rsidRPr="00246BA9">
        <w:rPr>
          <w:bCs/>
          <w:iCs/>
        </w:rPr>
        <w:t xml:space="preserve">a tempo indeterminato </w:t>
      </w:r>
      <w:r w:rsidR="00357418" w:rsidRPr="00246BA9">
        <w:rPr>
          <w:bCs/>
          <w:iCs/>
        </w:rPr>
        <w:t>del</w:t>
      </w:r>
      <w:r w:rsidR="00B14D07" w:rsidRPr="00246BA9">
        <w:rPr>
          <w:bCs/>
          <w:iCs/>
        </w:rPr>
        <w:t xml:space="preserve"> dirigente </w:t>
      </w:r>
      <w:r w:rsidR="00357418" w:rsidRPr="00246BA9">
        <w:rPr>
          <w:bCs/>
          <w:iCs/>
        </w:rPr>
        <w:t>per l’</w:t>
      </w:r>
      <w:r w:rsidRPr="00246BA9">
        <w:rPr>
          <w:bCs/>
          <w:iCs/>
        </w:rPr>
        <w:t>Area Ricerca, biblioteche, internazionalizzazione e terza missione e nel 2021</w:t>
      </w:r>
      <w:r w:rsidR="00B14D07" w:rsidRPr="00246BA9">
        <w:rPr>
          <w:bCs/>
          <w:iCs/>
        </w:rPr>
        <w:t xml:space="preserve"> l’assunzione, con contratto a tempo determinato, per l’Area Organizzazione e Sistemi Informativi. All’atto dell’assunzione i dirigenti hanno reso apposite dichiarazioni di assenza di cause di incompatibilità e inconferibilità. Gli uffici competenti hanno proceduto alle verifiche e, successivamente, alla pubblicazione</w:t>
      </w:r>
      <w:r w:rsidR="00B14D07" w:rsidRPr="00246BA9">
        <w:rPr>
          <w:rStyle w:val="Rimandonotaapidipagina"/>
          <w:bCs/>
          <w:iCs/>
        </w:rPr>
        <w:footnoteReference w:id="14"/>
      </w:r>
      <w:r w:rsidR="00B14D07" w:rsidRPr="00246BA9">
        <w:rPr>
          <w:bCs/>
          <w:iCs/>
        </w:rPr>
        <w:t xml:space="preserve"> nella sezione trasparente, previa informazione al RPCT.</w:t>
      </w:r>
    </w:p>
    <w:p w:rsidR="000A2290" w:rsidRPr="000A2290" w:rsidRDefault="000A2290" w:rsidP="00804459">
      <w:pPr>
        <w:spacing w:after="0"/>
        <w:rPr>
          <w:color w:val="C00000"/>
        </w:rPr>
      </w:pPr>
    </w:p>
    <w:p w:rsidR="000A2290" w:rsidRPr="005F71FC" w:rsidRDefault="000A2290" w:rsidP="00804459">
      <w:pPr>
        <w:spacing w:after="0"/>
        <w:rPr>
          <w:bCs/>
          <w:iCs/>
          <w:color w:val="0070C0"/>
        </w:rPr>
      </w:pPr>
      <w:r w:rsidRPr="005F71FC">
        <w:rPr>
          <w:b/>
          <w:bCs/>
          <w:iCs/>
          <w:color w:val="0070C0"/>
        </w:rPr>
        <w:t>• Conferimento e autorizzazione incarichi ai dipendenti</w:t>
      </w:r>
    </w:p>
    <w:p w:rsidR="000A2290" w:rsidRPr="005D5422" w:rsidRDefault="000A2290" w:rsidP="005D5422">
      <w:pPr>
        <w:spacing w:after="0"/>
        <w:jc w:val="both"/>
        <w:rPr>
          <w:bCs/>
          <w:iCs/>
          <w:color w:val="C00000"/>
        </w:rPr>
      </w:pPr>
      <w:r w:rsidRPr="005D5422">
        <w:rPr>
          <w:bCs/>
          <w:iCs/>
          <w:color w:val="000000" w:themeColor="text1"/>
        </w:rPr>
        <w:t xml:space="preserve">L’Università ha disciplinato le autorizzazioni di incarichi extra istituzionali ai dipendenti attraverso il </w:t>
      </w:r>
      <w:r w:rsidRPr="00E33C09">
        <w:rPr>
          <w:bCs/>
          <w:iCs/>
        </w:rPr>
        <w:t>Regolamento per il rilascio di autorizzazioni relative al conferimento di incarichi extraistituzionali al personale docente</w:t>
      </w:r>
      <w:r w:rsidR="00E33C09" w:rsidRPr="00E33C09">
        <w:rPr>
          <w:rStyle w:val="Rimandonotaapidipagina"/>
          <w:bCs/>
          <w:iCs/>
        </w:rPr>
        <w:footnoteReference w:id="15"/>
      </w:r>
      <w:r w:rsidRPr="00E33C09">
        <w:rPr>
          <w:bCs/>
          <w:iCs/>
        </w:rPr>
        <w:t xml:space="preserve"> e il Regolamento in materia di incarichi per attività extra istituzionali del personale tecnico amministrativo</w:t>
      </w:r>
      <w:r w:rsidR="00E33C09" w:rsidRPr="00E33C09">
        <w:rPr>
          <w:rStyle w:val="Rimandonotaapidipagina"/>
          <w:bCs/>
          <w:iCs/>
        </w:rPr>
        <w:footnoteReference w:id="16"/>
      </w:r>
      <w:r w:rsidRPr="00E33C09">
        <w:rPr>
          <w:bCs/>
          <w:iCs/>
        </w:rPr>
        <w:t>.</w:t>
      </w:r>
    </w:p>
    <w:p w:rsidR="000A2290" w:rsidRPr="005D5422" w:rsidRDefault="000A2290" w:rsidP="005D5422">
      <w:pPr>
        <w:spacing w:after="0"/>
        <w:jc w:val="both"/>
        <w:rPr>
          <w:bCs/>
          <w:iCs/>
          <w:color w:val="000000" w:themeColor="text1"/>
        </w:rPr>
      </w:pPr>
      <w:r w:rsidRPr="005D5422">
        <w:rPr>
          <w:bCs/>
          <w:iCs/>
          <w:color w:val="000000" w:themeColor="text1"/>
        </w:rPr>
        <w:t>Sono state adottate procedure prestabilite per il rilascio delle autorizzazioni allo svolgimento di incarichi extra istituzionali al personale tecnico e amministrativo e al personale docente.</w:t>
      </w:r>
    </w:p>
    <w:p w:rsidR="000A2290" w:rsidRPr="005D5422" w:rsidRDefault="000A2290" w:rsidP="005D5422">
      <w:pPr>
        <w:spacing w:after="0"/>
        <w:jc w:val="both"/>
        <w:rPr>
          <w:bCs/>
          <w:iCs/>
          <w:color w:val="000000" w:themeColor="text1"/>
        </w:rPr>
      </w:pPr>
      <w:r w:rsidRPr="00682F19">
        <w:rPr>
          <w:bCs/>
          <w:iCs/>
          <w:color w:val="000000" w:themeColor="text1"/>
        </w:rPr>
        <w:t xml:space="preserve">Nel </w:t>
      </w:r>
      <w:r w:rsidR="005F71FC" w:rsidRPr="00682F19">
        <w:rPr>
          <w:bCs/>
          <w:iCs/>
          <w:color w:val="000000" w:themeColor="text1"/>
        </w:rPr>
        <w:t>2021</w:t>
      </w:r>
      <w:r w:rsidRPr="00682F19">
        <w:rPr>
          <w:bCs/>
          <w:iCs/>
          <w:color w:val="000000" w:themeColor="text1"/>
        </w:rPr>
        <w:t xml:space="preserve"> non sono pervenute segnalazioni sullo svolgimento di incarichi extra-istituzionale non autorizzati.</w:t>
      </w:r>
    </w:p>
    <w:p w:rsidR="00357418" w:rsidRPr="000A2290" w:rsidRDefault="00357418" w:rsidP="00804459">
      <w:pPr>
        <w:spacing w:after="0"/>
        <w:rPr>
          <w:color w:val="C00000"/>
        </w:rPr>
      </w:pPr>
    </w:p>
    <w:p w:rsidR="00FD5947" w:rsidRPr="005B5924" w:rsidRDefault="000A2290" w:rsidP="00FD5947">
      <w:pPr>
        <w:spacing w:after="0"/>
        <w:rPr>
          <w:b/>
          <w:bCs/>
          <w:iCs/>
          <w:color w:val="0070C0"/>
        </w:rPr>
      </w:pPr>
      <w:r w:rsidRPr="005B5924">
        <w:rPr>
          <w:b/>
          <w:bCs/>
          <w:iCs/>
          <w:color w:val="0070C0"/>
        </w:rPr>
        <w:lastRenderedPageBreak/>
        <w:t xml:space="preserve">• Tutela del dipendente pubblico che segnala gli illeciti - </w:t>
      </w:r>
      <w:proofErr w:type="spellStart"/>
      <w:r w:rsidRPr="005B5924">
        <w:rPr>
          <w:b/>
          <w:bCs/>
          <w:iCs/>
          <w:color w:val="0070C0"/>
        </w:rPr>
        <w:t>Whistleblowing</w:t>
      </w:r>
      <w:proofErr w:type="spellEnd"/>
    </w:p>
    <w:p w:rsidR="00246BA9" w:rsidRDefault="00FD5947" w:rsidP="002B5615">
      <w:pPr>
        <w:spacing w:after="0"/>
        <w:jc w:val="both"/>
        <w:rPr>
          <w:bCs/>
          <w:iCs/>
        </w:rPr>
      </w:pPr>
      <w:r w:rsidRPr="002B5615">
        <w:rPr>
          <w:bCs/>
          <w:iCs/>
        </w:rPr>
        <w:t xml:space="preserve">Al fine di perfezionare le azioni relative all’istituto giuridico del </w:t>
      </w:r>
      <w:proofErr w:type="spellStart"/>
      <w:r w:rsidRPr="002B5615">
        <w:rPr>
          <w:bCs/>
          <w:iCs/>
        </w:rPr>
        <w:t>whistleblo</w:t>
      </w:r>
      <w:r w:rsidR="002B5615" w:rsidRPr="002B5615">
        <w:rPr>
          <w:bCs/>
          <w:iCs/>
        </w:rPr>
        <w:t>wing</w:t>
      </w:r>
      <w:proofErr w:type="spellEnd"/>
      <w:r w:rsidR="002B5615" w:rsidRPr="002B5615">
        <w:rPr>
          <w:bCs/>
          <w:iCs/>
        </w:rPr>
        <w:t xml:space="preserve"> </w:t>
      </w:r>
      <w:r w:rsidR="00464BE6">
        <w:rPr>
          <w:bCs/>
          <w:iCs/>
        </w:rPr>
        <w:t>nel 2020</w:t>
      </w:r>
      <w:r w:rsidR="002B5615" w:rsidRPr="002B5615">
        <w:rPr>
          <w:bCs/>
          <w:iCs/>
        </w:rPr>
        <w:t xml:space="preserve"> </w:t>
      </w:r>
      <w:r w:rsidR="005B5924">
        <w:rPr>
          <w:bCs/>
          <w:iCs/>
        </w:rPr>
        <w:t xml:space="preserve">è </w:t>
      </w:r>
      <w:r w:rsidR="002B5615" w:rsidRPr="002B5615">
        <w:rPr>
          <w:bCs/>
          <w:iCs/>
        </w:rPr>
        <w:t>stato effettuato un</w:t>
      </w:r>
    </w:p>
    <w:p w:rsidR="005B5924" w:rsidRDefault="002B5615" w:rsidP="002B5615">
      <w:pPr>
        <w:spacing w:after="0"/>
        <w:jc w:val="both"/>
        <w:rPr>
          <w:bCs/>
          <w:iCs/>
        </w:rPr>
      </w:pPr>
      <w:proofErr w:type="gramStart"/>
      <w:r w:rsidRPr="002B5615">
        <w:rPr>
          <w:bCs/>
          <w:iCs/>
        </w:rPr>
        <w:t>attento</w:t>
      </w:r>
      <w:proofErr w:type="gramEnd"/>
      <w:r w:rsidRPr="002B5615">
        <w:rPr>
          <w:bCs/>
          <w:iCs/>
        </w:rPr>
        <w:t xml:space="preserve"> esame</w:t>
      </w:r>
      <w:r>
        <w:rPr>
          <w:rStyle w:val="Rimandonotaapidipagina"/>
          <w:bCs/>
          <w:iCs/>
        </w:rPr>
        <w:footnoteReference w:id="17"/>
      </w:r>
      <w:r w:rsidRPr="002B5615">
        <w:rPr>
          <w:bCs/>
          <w:iCs/>
        </w:rPr>
        <w:t xml:space="preserve"> della procedura in atto e sono stati esaminati alcuni sistemi informatici di supporto alla gestione delle segnalazioni. Avendo accertato che</w:t>
      </w:r>
      <w:r w:rsidR="00FD5947" w:rsidRPr="002B5615">
        <w:rPr>
          <w:bCs/>
          <w:iCs/>
        </w:rPr>
        <w:t xml:space="preserve"> </w:t>
      </w:r>
      <w:r w:rsidR="00FD5947" w:rsidRPr="00FD5947">
        <w:rPr>
          <w:bCs/>
          <w:iCs/>
        </w:rPr>
        <w:t>il sistema attualmente in uso nell’Ateneo non manifesta particolari criticità,</w:t>
      </w:r>
      <w:r w:rsidR="005B5924">
        <w:rPr>
          <w:bCs/>
          <w:iCs/>
        </w:rPr>
        <w:t xml:space="preserve"> si ritiene utile proseguire con l’attuale procedura.</w:t>
      </w:r>
    </w:p>
    <w:p w:rsidR="005B5924" w:rsidRDefault="00A64EC0" w:rsidP="002B5615">
      <w:pPr>
        <w:spacing w:after="0"/>
        <w:jc w:val="both"/>
        <w:rPr>
          <w:bCs/>
          <w:iCs/>
        </w:rPr>
      </w:pPr>
      <w:r w:rsidRPr="00A64EC0">
        <w:rPr>
          <w:bCs/>
          <w:iCs/>
        </w:rPr>
        <w:t>Si ricorda che n</w:t>
      </w:r>
      <w:r w:rsidR="000A2290" w:rsidRPr="00A64EC0">
        <w:rPr>
          <w:bCs/>
          <w:iCs/>
        </w:rPr>
        <w:t>el 2019:</w:t>
      </w:r>
      <w:r w:rsidRPr="00A64EC0">
        <w:rPr>
          <w:bCs/>
          <w:iCs/>
        </w:rPr>
        <w:t xml:space="preserve"> </w:t>
      </w:r>
      <w:r w:rsidR="000A2290" w:rsidRPr="00A64EC0">
        <w:rPr>
          <w:bCs/>
          <w:iCs/>
        </w:rPr>
        <w:t xml:space="preserve">sono state aggiornate le </w:t>
      </w:r>
      <w:r w:rsidR="000A2290" w:rsidRPr="00613CA8">
        <w:rPr>
          <w:bCs/>
          <w:i/>
          <w:iCs/>
        </w:rPr>
        <w:t>Note operative per le segnalazioni</w:t>
      </w:r>
      <w:r w:rsidR="000A2290" w:rsidRPr="00A64EC0">
        <w:rPr>
          <w:bCs/>
          <w:iCs/>
        </w:rPr>
        <w:t>;</w:t>
      </w:r>
      <w:r w:rsidRPr="00A64EC0">
        <w:rPr>
          <w:bCs/>
          <w:iCs/>
        </w:rPr>
        <w:t xml:space="preserve"> </w:t>
      </w:r>
      <w:r w:rsidR="000A2290" w:rsidRPr="00A64EC0">
        <w:rPr>
          <w:bCs/>
          <w:iCs/>
        </w:rPr>
        <w:t>sono stati nominati i referenti di Ateneo a supporto del Responsabile per la prevenzione della corruzione ne</w:t>
      </w:r>
      <w:r w:rsidR="005B5924">
        <w:rPr>
          <w:bCs/>
          <w:iCs/>
        </w:rPr>
        <w:t xml:space="preserve">lla gestione del </w:t>
      </w:r>
      <w:proofErr w:type="spellStart"/>
      <w:r w:rsidR="005B5924">
        <w:rPr>
          <w:bCs/>
          <w:iCs/>
        </w:rPr>
        <w:t>whistleblowing</w:t>
      </w:r>
      <w:proofErr w:type="spellEnd"/>
      <w:r w:rsidR="005B5924">
        <w:rPr>
          <w:bCs/>
          <w:iCs/>
        </w:rPr>
        <w:t>.</w:t>
      </w:r>
    </w:p>
    <w:p w:rsidR="000A2290" w:rsidRPr="00A64EC0" w:rsidRDefault="000A2290" w:rsidP="002B5615">
      <w:pPr>
        <w:spacing w:after="0"/>
        <w:jc w:val="both"/>
        <w:rPr>
          <w:bCs/>
          <w:iCs/>
        </w:rPr>
      </w:pPr>
      <w:r w:rsidRPr="00A64EC0">
        <w:rPr>
          <w:bCs/>
          <w:iCs/>
        </w:rPr>
        <w:t>Nel 20</w:t>
      </w:r>
      <w:r w:rsidR="002A53FD">
        <w:rPr>
          <w:bCs/>
          <w:iCs/>
        </w:rPr>
        <w:t>21</w:t>
      </w:r>
      <w:r w:rsidRPr="00A64EC0">
        <w:rPr>
          <w:bCs/>
          <w:iCs/>
        </w:rPr>
        <w:t xml:space="preserve"> </w:t>
      </w:r>
      <w:r w:rsidR="00A64EC0" w:rsidRPr="00A64EC0">
        <w:rPr>
          <w:bCs/>
          <w:iCs/>
        </w:rPr>
        <w:t>non sono</w:t>
      </w:r>
      <w:r w:rsidRPr="00A64EC0">
        <w:rPr>
          <w:bCs/>
          <w:iCs/>
        </w:rPr>
        <w:t xml:space="preserve"> pervenut</w:t>
      </w:r>
      <w:r w:rsidR="00A64EC0" w:rsidRPr="00A64EC0">
        <w:rPr>
          <w:bCs/>
          <w:iCs/>
        </w:rPr>
        <w:t xml:space="preserve">e </w:t>
      </w:r>
      <w:r w:rsidRPr="00A64EC0">
        <w:rPr>
          <w:bCs/>
          <w:iCs/>
        </w:rPr>
        <w:t>s</w:t>
      </w:r>
      <w:r w:rsidR="00A64EC0" w:rsidRPr="00A64EC0">
        <w:rPr>
          <w:bCs/>
          <w:iCs/>
        </w:rPr>
        <w:t>egnalazioni.</w:t>
      </w:r>
    </w:p>
    <w:p w:rsidR="00E067B0" w:rsidRPr="000A2290" w:rsidRDefault="00E067B0" w:rsidP="00804459">
      <w:pPr>
        <w:spacing w:after="0"/>
        <w:rPr>
          <w:bCs/>
          <w:iCs/>
          <w:color w:val="C00000"/>
        </w:rPr>
      </w:pPr>
    </w:p>
    <w:p w:rsidR="000A2290" w:rsidRPr="00B22079" w:rsidRDefault="000A2290" w:rsidP="00804459">
      <w:pPr>
        <w:spacing w:after="0"/>
        <w:rPr>
          <w:b/>
          <w:bCs/>
          <w:iCs/>
          <w:color w:val="0070C0"/>
        </w:rPr>
      </w:pPr>
      <w:r w:rsidRPr="00B22079">
        <w:rPr>
          <w:b/>
          <w:bCs/>
          <w:iCs/>
          <w:color w:val="0070C0"/>
        </w:rPr>
        <w:t>• Codice di comportamento</w:t>
      </w:r>
    </w:p>
    <w:p w:rsidR="000A2290" w:rsidRPr="005D5422" w:rsidRDefault="000A2290" w:rsidP="00A64EC0">
      <w:pPr>
        <w:spacing w:after="0"/>
        <w:jc w:val="both"/>
        <w:rPr>
          <w:bCs/>
          <w:iCs/>
          <w:color w:val="000000" w:themeColor="text1"/>
        </w:rPr>
      </w:pPr>
      <w:r w:rsidRPr="005D5422">
        <w:rPr>
          <w:bCs/>
          <w:iCs/>
          <w:color w:val="000000" w:themeColor="text1"/>
        </w:rPr>
        <w:t>L’Ateneo ha adottato il Codice di comportamento nel 2015</w:t>
      </w:r>
      <w:r w:rsidRPr="005D5422">
        <w:rPr>
          <w:bCs/>
          <w:iCs/>
          <w:color w:val="000000" w:themeColor="text1"/>
          <w:vertAlign w:val="superscript"/>
        </w:rPr>
        <w:footnoteReference w:id="18"/>
      </w:r>
      <w:r w:rsidRPr="005D5422">
        <w:rPr>
          <w:bCs/>
          <w:iCs/>
          <w:color w:val="000000" w:themeColor="text1"/>
        </w:rPr>
        <w:t>. Tale codice si affianca al Codice etico della comunità universitaria adottato dall’Ateneo nel 2011</w:t>
      </w:r>
      <w:r w:rsidRPr="005D5422">
        <w:rPr>
          <w:bCs/>
          <w:iCs/>
          <w:color w:val="000000" w:themeColor="text1"/>
          <w:vertAlign w:val="superscript"/>
        </w:rPr>
        <w:footnoteReference w:id="19"/>
      </w:r>
      <w:r w:rsidRPr="005D5422">
        <w:rPr>
          <w:bCs/>
          <w:iCs/>
          <w:color w:val="000000" w:themeColor="text1"/>
        </w:rPr>
        <w:t>.</w:t>
      </w:r>
    </w:p>
    <w:p w:rsidR="000A2290" w:rsidRPr="005D5422" w:rsidRDefault="000A2290" w:rsidP="00A64EC0">
      <w:pPr>
        <w:spacing w:after="0"/>
        <w:jc w:val="both"/>
        <w:rPr>
          <w:bCs/>
          <w:iCs/>
          <w:color w:val="000000" w:themeColor="text1"/>
        </w:rPr>
      </w:pPr>
      <w:r w:rsidRPr="005D5422">
        <w:rPr>
          <w:bCs/>
          <w:iCs/>
          <w:color w:val="000000" w:themeColor="text1"/>
        </w:rPr>
        <w:t>Nel 20</w:t>
      </w:r>
      <w:r w:rsidR="002A53FD">
        <w:rPr>
          <w:bCs/>
          <w:iCs/>
          <w:color w:val="000000" w:themeColor="text1"/>
        </w:rPr>
        <w:t>21</w:t>
      </w:r>
      <w:r w:rsidRPr="005D5422">
        <w:rPr>
          <w:bCs/>
          <w:iCs/>
          <w:color w:val="000000" w:themeColor="text1"/>
        </w:rPr>
        <w:t xml:space="preserve"> </w:t>
      </w:r>
      <w:r w:rsidRPr="00464BE6">
        <w:rPr>
          <w:bCs/>
          <w:iCs/>
          <w:color w:val="000000" w:themeColor="text1"/>
        </w:rPr>
        <w:t>non sono pervenute segnalazioni relative alla violazione del D.P.R. 62/2013 e delle integrazioni previste dal Codice in vigore nell’Università.</w:t>
      </w:r>
    </w:p>
    <w:p w:rsidR="000A2290" w:rsidRPr="000A2290" w:rsidRDefault="000A2290" w:rsidP="00804459">
      <w:pPr>
        <w:spacing w:after="0"/>
        <w:rPr>
          <w:bCs/>
          <w:iCs/>
          <w:color w:val="C00000"/>
        </w:rPr>
      </w:pPr>
    </w:p>
    <w:p w:rsidR="000A2290" w:rsidRPr="00B22079" w:rsidRDefault="000A2290" w:rsidP="00804459">
      <w:pPr>
        <w:spacing w:after="0"/>
        <w:rPr>
          <w:b/>
          <w:bCs/>
          <w:iCs/>
          <w:color w:val="0070C0"/>
        </w:rPr>
      </w:pPr>
      <w:r w:rsidRPr="00B22079">
        <w:rPr>
          <w:b/>
          <w:bCs/>
          <w:iCs/>
          <w:color w:val="0070C0"/>
        </w:rPr>
        <w:t>• Procedimenti disciplinari e penali</w:t>
      </w:r>
    </w:p>
    <w:p w:rsidR="000A2290" w:rsidRPr="00842523" w:rsidRDefault="002A53FD" w:rsidP="00804459">
      <w:pPr>
        <w:spacing w:after="0"/>
        <w:rPr>
          <w:bCs/>
          <w:iCs/>
        </w:rPr>
      </w:pPr>
      <w:r w:rsidRPr="00464BE6">
        <w:rPr>
          <w:bCs/>
          <w:iCs/>
        </w:rPr>
        <w:t>Nell’anno 2021</w:t>
      </w:r>
      <w:r w:rsidR="000A2290" w:rsidRPr="00464BE6">
        <w:rPr>
          <w:bCs/>
          <w:iCs/>
        </w:rPr>
        <w:t xml:space="preserve"> non si sono verificati eventi corruttivi penalmente rilevanti.</w:t>
      </w:r>
      <w:r w:rsidR="000A2290" w:rsidRPr="00842523">
        <w:rPr>
          <w:bCs/>
          <w:iCs/>
        </w:rPr>
        <w:t xml:space="preserve"> </w:t>
      </w:r>
    </w:p>
    <w:p w:rsidR="000A2290" w:rsidRPr="000A2290" w:rsidRDefault="000A2290" w:rsidP="00804459">
      <w:pPr>
        <w:spacing w:after="0"/>
        <w:rPr>
          <w:bCs/>
          <w:iCs/>
          <w:color w:val="C00000"/>
        </w:rPr>
      </w:pPr>
    </w:p>
    <w:p w:rsidR="000A2290" w:rsidRPr="00B22079" w:rsidRDefault="000A2290" w:rsidP="00804459">
      <w:pPr>
        <w:spacing w:after="0"/>
        <w:rPr>
          <w:b/>
          <w:color w:val="0070C0"/>
        </w:rPr>
      </w:pPr>
      <w:r w:rsidRPr="00B22079">
        <w:rPr>
          <w:b/>
          <w:color w:val="0070C0"/>
        </w:rPr>
        <w:t xml:space="preserve">• Trasparenza </w:t>
      </w:r>
    </w:p>
    <w:p w:rsidR="000A2290" w:rsidRPr="00A64EC0" w:rsidRDefault="000A2290" w:rsidP="00A64EC0">
      <w:pPr>
        <w:spacing w:after="0"/>
        <w:jc w:val="both"/>
      </w:pPr>
      <w:r w:rsidRPr="00A64EC0">
        <w:t>La trasparenza dell’attività amministrativa è assicurata mediante la pubblicazione, nei siti web istituzionali delle pubbliche amministrazioni, delle informazioni/dati identificati prevalentemente dal d.lgs. 33/2013 che, per rendere ancora più incisive le disposizioni sulla trasparenza, ha introdotto nell’ordinamento italiano l'istituto dell'accesso civico.</w:t>
      </w:r>
    </w:p>
    <w:p w:rsidR="000A2290" w:rsidRPr="00B22079" w:rsidRDefault="00A9070A" w:rsidP="00A64EC0">
      <w:pPr>
        <w:spacing w:after="0"/>
        <w:jc w:val="both"/>
        <w:rPr>
          <w:iCs/>
        </w:rPr>
      </w:pPr>
      <w:r w:rsidRPr="00B22079">
        <w:rPr>
          <w:iCs/>
        </w:rPr>
        <w:t>Nel 202</w:t>
      </w:r>
      <w:r w:rsidR="00B22079" w:rsidRPr="00B22079">
        <w:rPr>
          <w:iCs/>
        </w:rPr>
        <w:t>1</w:t>
      </w:r>
      <w:r w:rsidR="000A2290" w:rsidRPr="00B22079">
        <w:rPr>
          <w:iCs/>
        </w:rPr>
        <w:t xml:space="preserve"> il RPCT, per garantire la massima consapevolez</w:t>
      </w:r>
      <w:r w:rsidR="0044352E" w:rsidRPr="00B22079">
        <w:rPr>
          <w:iCs/>
        </w:rPr>
        <w:t>za sugli adempimenti di pubblicazione</w:t>
      </w:r>
      <w:r w:rsidR="000A2290" w:rsidRPr="00B22079">
        <w:rPr>
          <w:iCs/>
        </w:rPr>
        <w:t>, ha disposto:</w:t>
      </w:r>
    </w:p>
    <w:p w:rsidR="000A2290" w:rsidRPr="00CE657A" w:rsidRDefault="007836EE" w:rsidP="00A64EC0">
      <w:pPr>
        <w:numPr>
          <w:ilvl w:val="0"/>
          <w:numId w:val="1"/>
        </w:numPr>
        <w:spacing w:after="0"/>
        <w:jc w:val="both"/>
        <w:rPr>
          <w:iCs/>
        </w:rPr>
      </w:pPr>
      <w:r w:rsidRPr="00CE657A">
        <w:rPr>
          <w:iCs/>
        </w:rPr>
        <w:t>L</w:t>
      </w:r>
      <w:r w:rsidR="000A2290" w:rsidRPr="00CE657A">
        <w:rPr>
          <w:iCs/>
        </w:rPr>
        <w:t xml:space="preserve">’aggiornamento della </w:t>
      </w:r>
      <w:r w:rsidR="000A2290" w:rsidRPr="00CE657A">
        <w:rPr>
          <w:i/>
          <w:iCs/>
        </w:rPr>
        <w:t>Matrice delle responsabilità degli ade</w:t>
      </w:r>
      <w:r w:rsidRPr="00CE657A">
        <w:rPr>
          <w:i/>
          <w:iCs/>
        </w:rPr>
        <w:t>mpimenti in tema di trasparenza</w:t>
      </w:r>
      <w:r w:rsidRPr="00CE657A">
        <w:rPr>
          <w:iCs/>
        </w:rPr>
        <w:t xml:space="preserve"> che </w:t>
      </w:r>
      <w:r w:rsidR="000A2290" w:rsidRPr="00CE657A">
        <w:rPr>
          <w:iCs/>
        </w:rPr>
        <w:t>individua, per ogni adempimento, chi è tenuto alla elaborazione e trasmissione del dato e chi è tenuto alla sua pubblicazione</w:t>
      </w:r>
      <w:r w:rsidRPr="00CE657A">
        <w:rPr>
          <w:iCs/>
        </w:rPr>
        <w:t>. P</w:t>
      </w:r>
      <w:r w:rsidR="000A2290" w:rsidRPr="00CE657A">
        <w:rPr>
          <w:iCs/>
        </w:rPr>
        <w:t>er assicurarne la massima diffusione, tale matrice è pubblicata nella sezione Amministrazione trasparente</w:t>
      </w:r>
      <w:r w:rsidR="000A2290" w:rsidRPr="00CE657A">
        <w:rPr>
          <w:iCs/>
          <w:vertAlign w:val="superscript"/>
        </w:rPr>
        <w:footnoteReference w:id="20"/>
      </w:r>
      <w:r w:rsidR="000A2290" w:rsidRPr="00CE657A">
        <w:rPr>
          <w:iCs/>
        </w:rPr>
        <w:t xml:space="preserve">; </w:t>
      </w:r>
    </w:p>
    <w:p w:rsidR="000A2290" w:rsidRPr="00CE657A" w:rsidRDefault="007836EE" w:rsidP="00A64EC0">
      <w:pPr>
        <w:numPr>
          <w:ilvl w:val="0"/>
          <w:numId w:val="1"/>
        </w:numPr>
        <w:spacing w:after="0"/>
        <w:jc w:val="both"/>
        <w:rPr>
          <w:b/>
        </w:rPr>
      </w:pPr>
      <w:r w:rsidRPr="00CE657A">
        <w:t>U</w:t>
      </w:r>
      <w:r w:rsidR="000A2290" w:rsidRPr="00CE657A">
        <w:t xml:space="preserve">n costante monitoraggio </w:t>
      </w:r>
      <w:r w:rsidR="0044352E" w:rsidRPr="00CE657A">
        <w:t>di dati e informazioni pubblicati</w:t>
      </w:r>
      <w:r w:rsidR="000A2290" w:rsidRPr="00CE657A">
        <w:t xml:space="preserve"> nella sezi</w:t>
      </w:r>
      <w:r w:rsidRPr="00CE657A">
        <w:t>one Amministrazione trasparente</w:t>
      </w:r>
      <w:r w:rsidRPr="00CE657A">
        <w:rPr>
          <w:b/>
        </w:rPr>
        <w:t xml:space="preserve">: </w:t>
      </w:r>
      <w:r w:rsidRPr="00CE657A">
        <w:t>a</w:t>
      </w:r>
      <w:r w:rsidR="00A9070A" w:rsidRPr="00CE657A">
        <w:t>l 31 dicembre 2021</w:t>
      </w:r>
      <w:r w:rsidR="000A2290" w:rsidRPr="00CE657A">
        <w:t xml:space="preserve"> tutte le 22 sottosezioni di Amministrazione trasparente risultano popolate</w:t>
      </w:r>
      <w:r w:rsidR="00BC786F" w:rsidRPr="00CE657A">
        <w:t>; ottimo</w:t>
      </w:r>
      <w:r w:rsidR="00682F19">
        <w:t xml:space="preserve"> il livello di aggiornamento (98,75</w:t>
      </w:r>
      <w:r w:rsidR="00BC786F" w:rsidRPr="00CE657A">
        <w:t>%) e di “completezza” (94%)</w:t>
      </w:r>
      <w:r w:rsidR="005C2FF1" w:rsidRPr="00CE657A">
        <w:t xml:space="preserve"> di dati e informazioni </w:t>
      </w:r>
      <w:r w:rsidR="005C2FF1" w:rsidRPr="00682F19">
        <w:t>pubblicati;</w:t>
      </w:r>
      <w:r w:rsidR="005C2FF1" w:rsidRPr="00682F19">
        <w:rPr>
          <w:rStyle w:val="Rimandonotaapidipagina"/>
        </w:rPr>
        <w:footnoteReference w:id="21"/>
      </w:r>
    </w:p>
    <w:p w:rsidR="00CE657A" w:rsidRDefault="004D1BE9" w:rsidP="00CE657A">
      <w:pPr>
        <w:numPr>
          <w:ilvl w:val="0"/>
          <w:numId w:val="1"/>
        </w:numPr>
        <w:spacing w:after="0"/>
        <w:jc w:val="both"/>
      </w:pPr>
      <w:r w:rsidRPr="00CE657A">
        <w:t>L</w:t>
      </w:r>
      <w:r w:rsidR="000A2290" w:rsidRPr="00CE657A">
        <w:t>a rilevazione degli accessi alla sezi</w:t>
      </w:r>
      <w:r w:rsidR="007836EE" w:rsidRPr="00CE657A">
        <w:t>one amministrazione trasparente:</w:t>
      </w:r>
      <w:r w:rsidR="000A2290" w:rsidRPr="00CE657A">
        <w:t xml:space="preserve"> </w:t>
      </w:r>
      <w:r w:rsidR="007836EE" w:rsidRPr="00CE657A">
        <w:t>n</w:t>
      </w:r>
      <w:r w:rsidR="000A2290" w:rsidRPr="00CE657A">
        <w:t>el 20</w:t>
      </w:r>
      <w:r w:rsidR="00CE657A" w:rsidRPr="00CE657A">
        <w:t>21</w:t>
      </w:r>
      <w:r w:rsidRPr="00CE657A">
        <w:t xml:space="preserve"> le visualizzazioni </w:t>
      </w:r>
      <w:r w:rsidR="007836EE" w:rsidRPr="00CE657A">
        <w:t>sono state</w:t>
      </w:r>
      <w:r w:rsidR="00CE657A" w:rsidRPr="00CE657A">
        <w:t xml:space="preserve"> n. 56</w:t>
      </w:r>
      <w:r w:rsidR="008A4F80" w:rsidRPr="00CE657A">
        <w:t>.</w:t>
      </w:r>
      <w:r w:rsidR="00CE657A" w:rsidRPr="00CE657A">
        <w:t>88</w:t>
      </w:r>
      <w:r w:rsidR="0044352E" w:rsidRPr="00CE657A">
        <w:t>9</w:t>
      </w:r>
      <w:r w:rsidR="000A2290" w:rsidRPr="00CE657A">
        <w:t>.</w:t>
      </w:r>
    </w:p>
    <w:p w:rsidR="000A2290" w:rsidRDefault="003A0BCB" w:rsidP="00B22079">
      <w:pPr>
        <w:spacing w:after="0"/>
        <w:jc w:val="both"/>
      </w:pPr>
      <w:r>
        <w:t>Nel corso del 2021, s</w:t>
      </w:r>
      <w:r w:rsidR="00CE657A">
        <w:t xml:space="preserve">ulla base dell’analisi AS-IS </w:t>
      </w:r>
      <w:r w:rsidR="00B22079">
        <w:t xml:space="preserve">della </w:t>
      </w:r>
      <w:r>
        <w:t>sezione Amministrazione trasparente del sito web dell’Università</w:t>
      </w:r>
      <w:r w:rsidR="00B22079">
        <w:t xml:space="preserve"> effettuato lo scorso anno</w:t>
      </w:r>
      <w:r>
        <w:t xml:space="preserve">, si è avviato il lavoro di </w:t>
      </w:r>
      <w:proofErr w:type="spellStart"/>
      <w:r>
        <w:t>restilyng</w:t>
      </w:r>
      <w:proofErr w:type="spellEnd"/>
      <w:r>
        <w:t xml:space="preserve"> per semplificare la consultazione delle pagine web da parte degli utenti. L’intervento ha riguardato </w:t>
      </w:r>
      <w:r w:rsidR="00B22079">
        <w:t>22 sottosezioni, generalmente creando le sezioni “archivio” dove sono stati trasferiti i dati e le informazioni meno recenti e, in alcune occasioni, riordinando l’esposizione dei dati/informazioni per facilitare la consultazione.</w:t>
      </w:r>
    </w:p>
    <w:p w:rsidR="00B22079" w:rsidRPr="00B22079" w:rsidRDefault="00B22079" w:rsidP="00B22079">
      <w:pPr>
        <w:spacing w:after="0"/>
        <w:jc w:val="both"/>
      </w:pPr>
    </w:p>
    <w:p w:rsidR="000A2290" w:rsidRPr="00A9070A" w:rsidRDefault="000A2290" w:rsidP="00804459">
      <w:pPr>
        <w:spacing w:after="0"/>
        <w:rPr>
          <w:b/>
          <w:color w:val="0070C0"/>
        </w:rPr>
      </w:pPr>
      <w:r w:rsidRPr="00A9070A">
        <w:rPr>
          <w:b/>
          <w:color w:val="0070C0"/>
        </w:rPr>
        <w:t>• Accesso civico</w:t>
      </w:r>
    </w:p>
    <w:p w:rsidR="00291CD5" w:rsidRPr="00A9070A" w:rsidRDefault="00464BE6" w:rsidP="00A64EC0">
      <w:pPr>
        <w:spacing w:after="0"/>
        <w:jc w:val="both"/>
      </w:pPr>
      <w:r w:rsidRPr="00A9070A">
        <w:t xml:space="preserve">Nel </w:t>
      </w:r>
      <w:r w:rsidR="00291CD5" w:rsidRPr="00A9070A">
        <w:t>2020 è stato messo a punto il tracciamento e la redazione automatica del Registro degli accessi. Il registro è pubblicato nella pagina web “Registro degli accessi</w:t>
      </w:r>
      <w:r w:rsidR="00291CD5" w:rsidRPr="00A9070A">
        <w:rPr>
          <w:rStyle w:val="Rimandonotaapidipagina"/>
        </w:rPr>
        <w:footnoteReference w:id="22"/>
      </w:r>
      <w:r w:rsidR="00291CD5" w:rsidRPr="00A9070A">
        <w:t>” di amministrazione trasparenza ed è aggiornato in simultanea per ogni sopravvenuta modifica.</w:t>
      </w:r>
      <w:r w:rsidR="00076C77" w:rsidRPr="00A9070A">
        <w:t xml:space="preserve"> </w:t>
      </w:r>
      <w:r w:rsidR="000A2290" w:rsidRPr="00A9070A">
        <w:t xml:space="preserve">È stata aggiornata la pagina web “Accesso civico semplice e generalizzato” dove il cittadino può trovare tutte le informazioni utili per esercitare il suo diritto di accesso. </w:t>
      </w:r>
    </w:p>
    <w:p w:rsidR="000E16E0" w:rsidRPr="00A9070A" w:rsidRDefault="00A9070A" w:rsidP="00A64EC0">
      <w:pPr>
        <w:spacing w:after="0"/>
        <w:jc w:val="both"/>
      </w:pPr>
      <w:r w:rsidRPr="00A9070A">
        <w:t>Nel 2021 ci sono state n. 2 richieste di accesso civico generalizzato riguardanti convenzioni con altri enti pubblici e/o con società di diritto privato, nessuna richiesta di accesso civico semplice e n. 185</w:t>
      </w:r>
      <w:r w:rsidR="00D31727" w:rsidRPr="00A9070A">
        <w:rPr>
          <w:rStyle w:val="Rimandonotaapidipagina"/>
        </w:rPr>
        <w:footnoteReference w:id="23"/>
      </w:r>
      <w:r w:rsidR="00241E18" w:rsidRPr="00A9070A">
        <w:t xml:space="preserve"> richieste di accesso agli atti </w:t>
      </w:r>
      <w:r w:rsidR="00553BEA" w:rsidRPr="00A9070A">
        <w:t>(</w:t>
      </w:r>
      <w:r w:rsidR="00241E18" w:rsidRPr="00A9070A">
        <w:t xml:space="preserve">ai sensi </w:t>
      </w:r>
      <w:r w:rsidR="00553BEA" w:rsidRPr="00A9070A">
        <w:t>dell’art. 22, L. 241/1990) riguardanti</w:t>
      </w:r>
      <w:r w:rsidR="00241E18" w:rsidRPr="00A9070A">
        <w:t xml:space="preserve"> </w:t>
      </w:r>
      <w:r w:rsidRPr="00A9070A">
        <w:t xml:space="preserve">principalmente </w:t>
      </w:r>
      <w:r w:rsidR="00264DF4" w:rsidRPr="00A9070A">
        <w:t xml:space="preserve">le </w:t>
      </w:r>
      <w:r w:rsidR="00553BEA" w:rsidRPr="00A9070A">
        <w:t>procedure selettive per l’accesso ai corsi di studio e le procedure concorsuali per il personale.</w:t>
      </w:r>
    </w:p>
    <w:p w:rsidR="00DA23A3" w:rsidRDefault="00DA23A3" w:rsidP="00A64EC0">
      <w:pPr>
        <w:spacing w:after="0"/>
        <w:jc w:val="both"/>
      </w:pPr>
    </w:p>
    <w:p w:rsidR="00DA23A3" w:rsidRPr="00E15236" w:rsidRDefault="00DA23A3" w:rsidP="00A64EC0">
      <w:pPr>
        <w:spacing w:after="0"/>
        <w:jc w:val="both"/>
        <w:rPr>
          <w:b/>
          <w:color w:val="0070C0"/>
        </w:rPr>
      </w:pPr>
      <w:r w:rsidRPr="00E15236">
        <w:rPr>
          <w:b/>
          <w:color w:val="0070C0"/>
        </w:rPr>
        <w:t>• Giornata della trasparenza</w:t>
      </w:r>
    </w:p>
    <w:p w:rsidR="00DA23A3" w:rsidRDefault="00DA23A3" w:rsidP="00A64EC0">
      <w:pPr>
        <w:spacing w:after="0"/>
        <w:jc w:val="both"/>
      </w:pPr>
      <w:r w:rsidRPr="00DA23A3">
        <w:t>Nonostante le difficoltà legate all’emergenza Covid19, il RPCT si è adoperato per l’organizzazione della</w:t>
      </w:r>
      <w:r w:rsidR="002A53FD">
        <w:t xml:space="preserve"> Giornata della Trasparenza 2021</w:t>
      </w:r>
      <w:r w:rsidRPr="00DA23A3">
        <w:t xml:space="preserve"> che</w:t>
      </w:r>
      <w:r w:rsidR="002A53FD">
        <w:t xml:space="preserve"> si è svolta il 1° dicembre 2021</w:t>
      </w:r>
      <w:r w:rsidRPr="00DA23A3">
        <w:t xml:space="preserve">, </w:t>
      </w:r>
      <w:r w:rsidR="002A53FD">
        <w:t xml:space="preserve">presso la Sala Cripta del complesso universitario San Francesco a Siena, </w:t>
      </w:r>
      <w:r w:rsidRPr="00DA23A3">
        <w:t xml:space="preserve">con diretta web sul </w:t>
      </w:r>
      <w:r w:rsidRPr="00DA23A3">
        <w:rPr>
          <w:i/>
        </w:rPr>
        <w:t xml:space="preserve">canale </w:t>
      </w:r>
      <w:proofErr w:type="spellStart"/>
      <w:r w:rsidRPr="00DA23A3">
        <w:rPr>
          <w:i/>
        </w:rPr>
        <w:t>youtube</w:t>
      </w:r>
      <w:proofErr w:type="spellEnd"/>
      <w:r w:rsidRPr="00DA23A3">
        <w:rPr>
          <w:i/>
        </w:rPr>
        <w:t xml:space="preserve"> Unisi video</w:t>
      </w:r>
      <w:r w:rsidRPr="00DA23A3">
        <w:t xml:space="preserve"> dell’Università di Siena. </w:t>
      </w:r>
    </w:p>
    <w:p w:rsidR="000A2290" w:rsidRDefault="00E15236" w:rsidP="00E15236">
      <w:pPr>
        <w:spacing w:after="0"/>
        <w:jc w:val="both"/>
      </w:pPr>
      <w:r>
        <w:t>I lavori sono stati coordinati dal Direttore Generale dell’Università, sono intervenuti Franca Borgogelli, già p</w:t>
      </w:r>
      <w:r w:rsidRPr="00E15236">
        <w:t>rofessoressa di Diritto del Lavoro su "Il dirigente pubblico datore di lavoro e il sistema della traspa</w:t>
      </w:r>
      <w:r>
        <w:t>renza"; Francesco Merloni, già presidente ANAC e p</w:t>
      </w:r>
      <w:r w:rsidRPr="00E15236">
        <w:t>rofessore di Diritto Amministrativo dell’Università di Perugia su "Trasparenza amministrativa e contratt</w:t>
      </w:r>
      <w:r>
        <w:t xml:space="preserve">i pubblici"; Riccardo </w:t>
      </w:r>
      <w:proofErr w:type="spellStart"/>
      <w:r>
        <w:t>Mussari</w:t>
      </w:r>
      <w:proofErr w:type="spellEnd"/>
      <w:r>
        <w:t>, p</w:t>
      </w:r>
      <w:r w:rsidRPr="00E15236">
        <w:t>rofessore di Economia Aziendale e delle Amministrazioni Pubbliche su "Performance e trasparenza: il ruolo della re</w:t>
      </w:r>
      <w:r>
        <w:t>ndicontazione"; Gaetano Malia, rappresentante degli s</w:t>
      </w:r>
      <w:r w:rsidRPr="00E15236">
        <w:t>tudenti nel Consiglio Territoriale per il controllo della qualità dell’Università di Siena su "Trasparenza: il punto di vista de</w:t>
      </w:r>
      <w:r>
        <w:t xml:space="preserve">gli studenti"; Clara </w:t>
      </w:r>
      <w:proofErr w:type="spellStart"/>
      <w:r>
        <w:t>Pluchino</w:t>
      </w:r>
      <w:proofErr w:type="spellEnd"/>
      <w:r>
        <w:t>, responsabile d</w:t>
      </w:r>
      <w:r w:rsidRPr="00E15236">
        <w:t>ivisione programmazione, organizzazione e valutazione dell’Università di Siena su "La performance: un sistema per favorire la trasparenza".</w:t>
      </w:r>
    </w:p>
    <w:p w:rsidR="00E15236" w:rsidRPr="00E15236" w:rsidRDefault="00E15236" w:rsidP="00E15236">
      <w:pPr>
        <w:spacing w:after="0"/>
        <w:jc w:val="both"/>
      </w:pPr>
    </w:p>
    <w:p w:rsidR="000A2290" w:rsidRPr="00464BE6" w:rsidRDefault="000A2290" w:rsidP="00804459">
      <w:pPr>
        <w:spacing w:after="0"/>
        <w:rPr>
          <w:b/>
          <w:color w:val="0070C0"/>
        </w:rPr>
      </w:pPr>
      <w:r w:rsidRPr="00464BE6">
        <w:rPr>
          <w:b/>
          <w:color w:val="0070C0"/>
        </w:rPr>
        <w:t>• Ulteriori misure specifiche</w:t>
      </w:r>
    </w:p>
    <w:p w:rsidR="000A2290" w:rsidRPr="00C403DC" w:rsidRDefault="000A2290" w:rsidP="00C403DC">
      <w:pPr>
        <w:spacing w:after="0"/>
        <w:jc w:val="both"/>
      </w:pPr>
      <w:r w:rsidRPr="00C403DC">
        <w:t>L’Università di Siena ha attuato alcuni interventi specifici per favorire la legalità e la trasparenza nell’azione amministrativa:</w:t>
      </w:r>
    </w:p>
    <w:p w:rsidR="000A2290" w:rsidRPr="00C403DC" w:rsidRDefault="000A2290" w:rsidP="00C403DC">
      <w:pPr>
        <w:spacing w:after="0"/>
        <w:jc w:val="both"/>
      </w:pPr>
      <w:r w:rsidRPr="00C403DC">
        <w:t xml:space="preserve">- per favorire la segnalazioni da parte della società civile riguardo a eventuali fatti corruttivi che coinvolgono i dipendenti ed i soggetti che intrattengono rapporti con l’Università di Siena, il RPCT ha disposto la </w:t>
      </w:r>
      <w:r w:rsidRPr="00C403DC">
        <w:lastRenderedPageBreak/>
        <w:t>pubblicazione nella pagina web di apertura della sezione amministrazione trasparente</w:t>
      </w:r>
      <w:r w:rsidRPr="00C403DC">
        <w:rPr>
          <w:vertAlign w:val="superscript"/>
        </w:rPr>
        <w:footnoteReference w:id="24"/>
      </w:r>
      <w:r w:rsidRPr="00C403DC">
        <w:t xml:space="preserve"> di apposita informativa in cui si invita il cittadino, che fosse a conoscenza di tali tipo di informazioni, a scrivere alla casella e-mail anticorruzione.trasparenza@unisi.it o contattare direttamente il RPCT;</w:t>
      </w:r>
    </w:p>
    <w:p w:rsidR="000A2290" w:rsidRPr="00C403DC" w:rsidRDefault="000A2290" w:rsidP="00C403DC">
      <w:pPr>
        <w:spacing w:after="0"/>
        <w:jc w:val="both"/>
      </w:pPr>
      <w:r w:rsidRPr="00C403DC">
        <w:t xml:space="preserve">- nella piena consapevolezza della “delicatezza” che comporta la gestione dei dati personali e della reale possibile “frizione” tra diritto alla </w:t>
      </w:r>
      <w:r w:rsidRPr="00C403DC">
        <w:rPr>
          <w:i/>
          <w:iCs/>
        </w:rPr>
        <w:t xml:space="preserve">privacy </w:t>
      </w:r>
      <w:r w:rsidRPr="00C403DC">
        <w:t>e trasparenza, che potrebbero generare le istanze di accesso generalizzato (FOIA), è stata individuata l’Area di rischio Gestione dei dati personali;</w:t>
      </w:r>
    </w:p>
    <w:p w:rsidR="000A2290" w:rsidRPr="00C403DC" w:rsidRDefault="000A2290" w:rsidP="00804459">
      <w:pPr>
        <w:spacing w:after="0"/>
      </w:pPr>
      <w:r w:rsidRPr="00C403DC">
        <w:t>- è stata costituita la Rete di Ateneo dei Referenti anticorruzione e trasparenza (Rete TAC).</w:t>
      </w:r>
    </w:p>
    <w:p w:rsidR="00A921D9" w:rsidRPr="00C403DC" w:rsidRDefault="00C403DC" w:rsidP="00C403DC">
      <w:pPr>
        <w:spacing w:after="0"/>
        <w:jc w:val="both"/>
      </w:pPr>
      <w:r>
        <w:rPr>
          <w:color w:val="C00000"/>
        </w:rPr>
        <w:t xml:space="preserve">- </w:t>
      </w:r>
      <w:r w:rsidRPr="00C403DC">
        <w:t>per una maggiore trasparenza di tutte le acquisizioni da parte dell</w:t>
      </w:r>
      <w:r>
        <w:t>e varie articolazioni univers</w:t>
      </w:r>
      <w:r w:rsidRPr="00C403DC">
        <w:t xml:space="preserve">itarie </w:t>
      </w:r>
      <w:r w:rsidR="00A921D9" w:rsidRPr="00C403DC">
        <w:t>è stata sviluppata internamente una piattaforma ad uso delle segreterie dei dipartimenti per la generazione di determinazioni a contrarre,</w:t>
      </w:r>
      <w:r w:rsidRPr="00C403DC">
        <w:t xml:space="preserve"> creando un sistema che consente</w:t>
      </w:r>
      <w:r w:rsidR="00A921D9" w:rsidRPr="00C403DC">
        <w:t xml:space="preserve"> la pubblicazione, nell’apposita sezione di “Amministrazione trasparente”, dei provvedimenti in maniera automatica subito dopo la </w:t>
      </w:r>
      <w:proofErr w:type="spellStart"/>
      <w:r w:rsidR="00A921D9" w:rsidRPr="00C403DC">
        <w:t>repertoriazione</w:t>
      </w:r>
      <w:proofErr w:type="spellEnd"/>
      <w:r w:rsidR="00A921D9" w:rsidRPr="00C403DC">
        <w:t xml:space="preserve">. Tale sistema consente di dare pubblicità a tutte le acquisizioni compresi i </w:t>
      </w:r>
      <w:proofErr w:type="spellStart"/>
      <w:r w:rsidR="00A921D9" w:rsidRPr="00C403DC">
        <w:t>microaffidamenti</w:t>
      </w:r>
      <w:proofErr w:type="spellEnd"/>
      <w:r w:rsidR="00A921D9" w:rsidRPr="00C403DC">
        <w:rPr>
          <w:vertAlign w:val="superscript"/>
        </w:rPr>
        <w:footnoteReference w:id="25"/>
      </w:r>
      <w:r w:rsidR="00A921D9" w:rsidRPr="00C403DC">
        <w:t xml:space="preserve">. </w:t>
      </w:r>
    </w:p>
    <w:p w:rsidR="00896281" w:rsidRDefault="00896281" w:rsidP="00804459">
      <w:pPr>
        <w:spacing w:after="0"/>
        <w:rPr>
          <w:color w:val="0070C0"/>
        </w:rPr>
      </w:pPr>
    </w:p>
    <w:p w:rsidR="00C403DC" w:rsidRPr="00C403DC" w:rsidRDefault="00246BA9" w:rsidP="00804459">
      <w:pPr>
        <w:spacing w:after="0"/>
        <w:rPr>
          <w:sz w:val="32"/>
          <w:szCs w:val="32"/>
        </w:rPr>
      </w:pPr>
      <w:r>
        <w:t>G</w:t>
      </w:r>
      <w:bookmarkStart w:id="0" w:name="_GoBack"/>
      <w:bookmarkEnd w:id="0"/>
      <w:r w:rsidR="00E15236">
        <w:t>ennaio 2022</w:t>
      </w:r>
    </w:p>
    <w:sectPr w:rsidR="00C403DC" w:rsidRPr="00C403DC" w:rsidSect="008663A6">
      <w:headerReference w:type="default" r:id="rId9"/>
      <w:footerReference w:type="default" r:id="rId10"/>
      <w:pgSz w:w="11906" w:h="16838" w:code="9"/>
      <w:pgMar w:top="1418" w:right="1134" w:bottom="1134" w:left="1134"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7D9" w:rsidRDefault="008977D9" w:rsidP="00896281">
      <w:pPr>
        <w:spacing w:after="0" w:line="240" w:lineRule="auto"/>
      </w:pPr>
      <w:r>
        <w:separator/>
      </w:r>
    </w:p>
  </w:endnote>
  <w:endnote w:type="continuationSeparator" w:id="0">
    <w:p w:rsidR="008977D9" w:rsidRDefault="008977D9" w:rsidP="0089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12277"/>
      <w:docPartObj>
        <w:docPartGallery w:val="Page Numbers (Bottom of Page)"/>
        <w:docPartUnique/>
      </w:docPartObj>
    </w:sdtPr>
    <w:sdtEndPr/>
    <w:sdtContent>
      <w:p w:rsidR="008977D9" w:rsidRDefault="008977D9">
        <w:pPr>
          <w:pStyle w:val="Pidipagina"/>
          <w:jc w:val="right"/>
        </w:pPr>
        <w:r>
          <w:fldChar w:fldCharType="begin"/>
        </w:r>
        <w:r>
          <w:instrText>PAGE   \* MERGEFORMAT</w:instrText>
        </w:r>
        <w:r>
          <w:fldChar w:fldCharType="separate"/>
        </w:r>
        <w:r w:rsidR="00246BA9">
          <w:rPr>
            <w:noProof/>
          </w:rPr>
          <w:t>10</w:t>
        </w:r>
        <w:r>
          <w:fldChar w:fldCharType="end"/>
        </w:r>
      </w:p>
    </w:sdtContent>
  </w:sdt>
  <w:p w:rsidR="008977D9" w:rsidRDefault="008977D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7D9" w:rsidRDefault="008977D9" w:rsidP="00896281">
      <w:pPr>
        <w:spacing w:after="0" w:line="240" w:lineRule="auto"/>
      </w:pPr>
      <w:r>
        <w:separator/>
      </w:r>
    </w:p>
  </w:footnote>
  <w:footnote w:type="continuationSeparator" w:id="0">
    <w:p w:rsidR="008977D9" w:rsidRDefault="008977D9" w:rsidP="00896281">
      <w:pPr>
        <w:spacing w:after="0" w:line="240" w:lineRule="auto"/>
      </w:pPr>
      <w:r>
        <w:continuationSeparator/>
      </w:r>
    </w:p>
  </w:footnote>
  <w:footnote w:id="1">
    <w:p w:rsidR="008977D9" w:rsidRDefault="008977D9" w:rsidP="00896281">
      <w:pPr>
        <w:pStyle w:val="Testonotaapidipagina"/>
      </w:pPr>
      <w:r>
        <w:rPr>
          <w:rStyle w:val="Rimandonotaapidipagina"/>
        </w:rPr>
        <w:footnoteRef/>
      </w:r>
      <w:r>
        <w:t xml:space="preserve"> Vedi </w:t>
      </w:r>
      <w:r w:rsidRPr="004D1454">
        <w:t>comma 14, art. 1, L. 190/2012</w:t>
      </w:r>
      <w:r>
        <w:t>.</w:t>
      </w:r>
    </w:p>
  </w:footnote>
  <w:footnote w:id="2">
    <w:p w:rsidR="008977D9" w:rsidRDefault="008977D9" w:rsidP="00896281">
      <w:pPr>
        <w:pStyle w:val="Testonotaapidipagina"/>
      </w:pPr>
      <w:r>
        <w:rPr>
          <w:rStyle w:val="Rimandonotaapidipagina"/>
        </w:rPr>
        <w:footnoteRef/>
      </w:r>
      <w:r>
        <w:t xml:space="preserve"> </w:t>
      </w:r>
      <w:r w:rsidRPr="004C266D">
        <w:t>https://www.unisi.it/ateneo/adempimenti/amministrazione-trasparente/altri-contenuti/prevenzione-della-corruzione-0</w:t>
      </w:r>
    </w:p>
  </w:footnote>
  <w:footnote w:id="3">
    <w:p w:rsidR="007B29B8" w:rsidRDefault="007B29B8">
      <w:pPr>
        <w:pStyle w:val="Testonotaapidipagina"/>
      </w:pPr>
      <w:r>
        <w:rPr>
          <w:rStyle w:val="Rimandonotaapidipagina"/>
        </w:rPr>
        <w:footnoteRef/>
      </w:r>
      <w:r>
        <w:t xml:space="preserve"> </w:t>
      </w:r>
      <w:r w:rsidRPr="007B29B8">
        <w:t xml:space="preserve">Un solo obbligo, sui 161 ai quali fa riferimento la sezione “Amministrazione trasparente” di </w:t>
      </w:r>
      <w:proofErr w:type="spellStart"/>
      <w:r w:rsidRPr="007B29B8">
        <w:t>US</w:t>
      </w:r>
      <w:r w:rsidR="00682F19">
        <w:t>iena</w:t>
      </w:r>
      <w:proofErr w:type="spellEnd"/>
      <w:r w:rsidR="00682F19">
        <w:t>, non risulta pubblicato</w:t>
      </w:r>
      <w:r w:rsidRPr="007B29B8">
        <w:t xml:space="preserve"> (160/161 x 100 = 99,37).  </w:t>
      </w:r>
    </w:p>
  </w:footnote>
  <w:footnote w:id="4">
    <w:p w:rsidR="009B63FE" w:rsidRDefault="009B63FE">
      <w:pPr>
        <w:pStyle w:val="Testonotaapidipagina"/>
      </w:pPr>
      <w:r>
        <w:rPr>
          <w:rStyle w:val="Rimandonotaapidipagina"/>
        </w:rPr>
        <w:footnoteRef/>
      </w:r>
      <w:r>
        <w:t xml:space="preserve"> </w:t>
      </w:r>
      <w:r w:rsidR="00DF7685">
        <w:t>Si considerano: u</w:t>
      </w:r>
      <w:r w:rsidR="007B29B8">
        <w:t>n obbligo con i dati pubblicati ma non aggiornati, più que</w:t>
      </w:r>
      <w:r w:rsidR="00682F19">
        <w:t>llo per il quale i dati non essendo</w:t>
      </w:r>
      <w:r w:rsidR="007B29B8">
        <w:t xml:space="preserve"> pubblicati</w:t>
      </w:r>
      <w:r w:rsidR="00682F19">
        <w:t xml:space="preserve"> sono di conseguenza non aggiornati</w:t>
      </w:r>
      <w:r w:rsidR="007B29B8">
        <w:t xml:space="preserve"> (159</w:t>
      </w:r>
      <w:r w:rsidR="00694003">
        <w:t>/161</w:t>
      </w:r>
      <w:r w:rsidR="006D1BCB">
        <w:t xml:space="preserve"> x 100</w:t>
      </w:r>
      <w:r w:rsidR="007B29B8">
        <w:t xml:space="preserve"> = 98,75)</w:t>
      </w:r>
      <w:r w:rsidR="00694003">
        <w:t xml:space="preserve">.  </w:t>
      </w:r>
    </w:p>
  </w:footnote>
  <w:footnote w:id="5">
    <w:p w:rsidR="009B63FE" w:rsidRDefault="009B63FE">
      <w:pPr>
        <w:pStyle w:val="Testonotaapidipagina"/>
      </w:pPr>
      <w:r>
        <w:rPr>
          <w:rStyle w:val="Rimandonotaapidipagina"/>
        </w:rPr>
        <w:footnoteRef/>
      </w:r>
      <w:r>
        <w:t xml:space="preserve"> </w:t>
      </w:r>
      <w:r w:rsidR="006D1BCB">
        <w:t xml:space="preserve">A.N.AC. </w:t>
      </w:r>
      <w:proofErr w:type="gramStart"/>
      <w:r w:rsidR="006D1BCB">
        <w:t>con</w:t>
      </w:r>
      <w:proofErr w:type="gramEnd"/>
      <w:r w:rsidR="00694003">
        <w:t xml:space="preserve"> “completo” fa riferimento anche alle indicazioni riguardanti le modalità espositive (es. tabelle)</w:t>
      </w:r>
      <w:r w:rsidR="00905BD9">
        <w:t>, inoltre i dati sono considerati</w:t>
      </w:r>
      <w:r w:rsidR="0079534A">
        <w:t xml:space="preserve"> non completi qualora manchino delle informazioni </w:t>
      </w:r>
      <w:r w:rsidR="00905BD9">
        <w:t>solo per alcuni report</w:t>
      </w:r>
      <w:r w:rsidR="00905BD9" w:rsidRPr="007B29B8">
        <w:t xml:space="preserve">. Tenendo presente ciò sono n. 10 gli adempimenti per i quali i dati non possono essere considerati completi. </w:t>
      </w:r>
      <w:r w:rsidR="006D1BCB" w:rsidRPr="007B29B8">
        <w:t>151/161 x 100 = 93,78</w:t>
      </w:r>
    </w:p>
  </w:footnote>
  <w:footnote w:id="6">
    <w:p w:rsidR="00EC5D81" w:rsidRDefault="00EC5D81">
      <w:pPr>
        <w:pStyle w:val="Testonotaapidipagina"/>
      </w:pPr>
      <w:r>
        <w:rPr>
          <w:rStyle w:val="Rimandonotaapidipagina"/>
        </w:rPr>
        <w:footnoteRef/>
      </w:r>
      <w:r>
        <w:t xml:space="preserve"> </w:t>
      </w:r>
      <w:hyperlink r:id="rId1" w:history="1">
        <w:r w:rsidRPr="00EC5D81">
          <w:rPr>
            <w:rStyle w:val="Collegamentoipertestuale"/>
          </w:rPr>
          <w:t>https://www.unisi.it/ateneo/adempimenti/amministrazione-trasparente/disposizioni-generali/programma-la-trasparenza</w:t>
        </w:r>
      </w:hyperlink>
    </w:p>
  </w:footnote>
  <w:footnote w:id="7">
    <w:p w:rsidR="008977D9" w:rsidRDefault="008977D9" w:rsidP="00267D0B">
      <w:pPr>
        <w:pStyle w:val="Testonotaapidipagina"/>
      </w:pPr>
      <w:r>
        <w:rPr>
          <w:rStyle w:val="Rimandonotaapidipagina"/>
        </w:rPr>
        <w:footnoteRef/>
      </w:r>
      <w:r>
        <w:t xml:space="preserve"> </w:t>
      </w:r>
      <w:r w:rsidRPr="00267D0B">
        <w:rPr>
          <w:bCs/>
        </w:rPr>
        <w:t xml:space="preserve">L’azione di monitoraggio si è conclusa </w:t>
      </w:r>
      <w:r w:rsidR="00DF7685">
        <w:rPr>
          <w:bCs/>
        </w:rPr>
        <w:t>il 12</w:t>
      </w:r>
      <w:r w:rsidRPr="00267D0B">
        <w:rPr>
          <w:bCs/>
        </w:rPr>
        <w:t xml:space="preserve"> gennaio 2021. Sono stati oggetti di controllo i bandi di concorso con scadenza nel peri</w:t>
      </w:r>
      <w:r w:rsidR="00D10B59">
        <w:rPr>
          <w:bCs/>
        </w:rPr>
        <w:t>odo 1 gennaio – 31 dicembre 2021</w:t>
      </w:r>
      <w:r w:rsidRPr="00267D0B">
        <w:rPr>
          <w:bCs/>
        </w:rPr>
        <w:t xml:space="preserve"> per i quali la procedura concorsuale risultava già in una fase successiva alla prima riunione della commissione.</w:t>
      </w:r>
    </w:p>
  </w:footnote>
  <w:footnote w:id="8">
    <w:p w:rsidR="00C96DE4" w:rsidRDefault="00474ECF" w:rsidP="00474ECF">
      <w:pPr>
        <w:pStyle w:val="Testonotaapidipagina"/>
      </w:pPr>
      <w:r>
        <w:rPr>
          <w:rStyle w:val="Rimandonotaapidipagina"/>
        </w:rPr>
        <w:footnoteRef/>
      </w:r>
      <w:r>
        <w:t xml:space="preserve"> </w:t>
      </w:r>
      <w:r w:rsidR="00C96DE4" w:rsidRPr="00C96DE4">
        <w:t xml:space="preserve">Per </w:t>
      </w:r>
      <w:r w:rsidR="00C96DE4">
        <w:t>le Scuole di specializzazione sono presi in considerazione gli anni accademici in cui si svolge effettivamente l’insegnamento e non quello in cui l’insegnamento è attribuito, per esempio gli insegnamenti svolti nell’AA 2019/2020 sono stati attribuiti nell’AA 2018/2019 e si fa riferimento ai</w:t>
      </w:r>
      <w:r w:rsidR="00C96DE4" w:rsidRPr="00C96DE4">
        <w:t xml:space="preserve"> “Registri Esse3 Offerta 2018</w:t>
      </w:r>
      <w:r w:rsidR="00C96DE4">
        <w:t>”; quelli svolti nel 2018/2019 sono stati attribuiti nel 2017/2018 e si fa riferimento a “Registri Esse3 Offerta 2017”; e così via per gli altri anni accademici.</w:t>
      </w:r>
    </w:p>
  </w:footnote>
  <w:footnote w:id="9">
    <w:p w:rsidR="003E3045" w:rsidRDefault="003E3045">
      <w:pPr>
        <w:pStyle w:val="Testonotaapidipagina"/>
      </w:pPr>
      <w:r>
        <w:rPr>
          <w:rStyle w:val="Rimandonotaapidipagina"/>
        </w:rPr>
        <w:footnoteRef/>
      </w:r>
      <w:r w:rsidR="00393F59">
        <w:t xml:space="preserve"> </w:t>
      </w:r>
      <w:proofErr w:type="gramStart"/>
      <w:r>
        <w:t>vedi</w:t>
      </w:r>
      <w:proofErr w:type="gramEnd"/>
      <w:r>
        <w:t xml:space="preserve"> nota precedente</w:t>
      </w:r>
    </w:p>
  </w:footnote>
  <w:footnote w:id="10">
    <w:p w:rsidR="0064512E" w:rsidRDefault="0064512E">
      <w:pPr>
        <w:pStyle w:val="Testonotaapidipagina"/>
      </w:pPr>
      <w:r>
        <w:rPr>
          <w:rStyle w:val="Rimandonotaapidipagina"/>
        </w:rPr>
        <w:footnoteRef/>
      </w:r>
      <w:r>
        <w:t xml:space="preserve"> </w:t>
      </w:r>
      <w:r w:rsidRPr="00AD6FE6">
        <w:t>Approvato (iter concluso); Compilato e in attesa di firma (sottoposto alla firma del presidente del cdl o del direttore della scuola di specializzazione); Verificato (il docente si riserva un controllo ulteriore prima di inviarlo alla firma); Bozza (in fase di compilazione)</w:t>
      </w:r>
    </w:p>
  </w:footnote>
  <w:footnote w:id="11">
    <w:p w:rsidR="008977D9" w:rsidRDefault="008977D9" w:rsidP="00896281">
      <w:pPr>
        <w:pStyle w:val="Testonotaapidipagina"/>
      </w:pPr>
      <w:r>
        <w:rPr>
          <w:rStyle w:val="Rimandonotaapidipagina"/>
        </w:rPr>
        <w:footnoteRef/>
      </w:r>
      <w:r>
        <w:t xml:space="preserve"> </w:t>
      </w:r>
      <w:r w:rsidRPr="00331A6F">
        <w:t xml:space="preserve">Nota protocollo </w:t>
      </w:r>
      <w:r>
        <w:rPr>
          <w:bCs/>
          <w:iCs/>
        </w:rPr>
        <w:t>n. 30118 del 19/02/2018.</w:t>
      </w:r>
    </w:p>
  </w:footnote>
  <w:footnote w:id="12">
    <w:p w:rsidR="008977D9" w:rsidRDefault="008977D9" w:rsidP="00896281">
      <w:pPr>
        <w:pStyle w:val="Testonotaapidipagina"/>
      </w:pPr>
      <w:r>
        <w:rPr>
          <w:rStyle w:val="Rimandonotaapidipagina"/>
        </w:rPr>
        <w:footnoteRef/>
      </w:r>
      <w:r>
        <w:t xml:space="preserve"> </w:t>
      </w:r>
      <w:r w:rsidRPr="00D77491">
        <w:rPr>
          <w:bCs/>
          <w:iCs/>
        </w:rPr>
        <w:t>Repertorio D.A. n. 1250/2018, protocollo n. 197970 del 21/12/2018</w:t>
      </w:r>
      <w:r>
        <w:rPr>
          <w:bCs/>
          <w:iCs/>
        </w:rPr>
        <w:t>.</w:t>
      </w:r>
    </w:p>
  </w:footnote>
  <w:footnote w:id="13">
    <w:p w:rsidR="008977D9" w:rsidRDefault="008977D9" w:rsidP="000A2290">
      <w:pPr>
        <w:pStyle w:val="Testonotaapidipagina"/>
      </w:pPr>
      <w:r>
        <w:rPr>
          <w:rStyle w:val="Rimandonotaapidipagina"/>
        </w:rPr>
        <w:footnoteRef/>
      </w:r>
      <w:r>
        <w:t xml:space="preserve"> </w:t>
      </w:r>
      <w:r w:rsidRPr="002C4C35">
        <w:t>https://www.unisi.it/ateneo/adempimenti/amministrazione-trasparente/personale/titolari-di-incarichi-dirigenziali</w:t>
      </w:r>
    </w:p>
  </w:footnote>
  <w:footnote w:id="14">
    <w:p w:rsidR="00B14D07" w:rsidRPr="007E06E2" w:rsidRDefault="00B14D07">
      <w:pPr>
        <w:pStyle w:val="Testonotaapidipagina"/>
        <w:rPr>
          <w:sz w:val="19"/>
          <w:szCs w:val="19"/>
        </w:rPr>
      </w:pPr>
      <w:r>
        <w:rPr>
          <w:rStyle w:val="Rimandonotaapidipagina"/>
        </w:rPr>
        <w:footnoteRef/>
      </w:r>
      <w:r>
        <w:t xml:space="preserve"> </w:t>
      </w:r>
      <w:r w:rsidRPr="007E06E2">
        <w:rPr>
          <w:sz w:val="19"/>
          <w:szCs w:val="19"/>
        </w:rPr>
        <w:t>https://www.unisi.it/ateneo/adempimenti/amministrazione-trasparente/personale/titolari-di-incarichi-dirigenziali-7</w:t>
      </w:r>
    </w:p>
  </w:footnote>
  <w:footnote w:id="15">
    <w:p w:rsidR="008977D9" w:rsidRDefault="008977D9">
      <w:pPr>
        <w:pStyle w:val="Testonotaapidipagina"/>
      </w:pPr>
      <w:r>
        <w:rPr>
          <w:rStyle w:val="Rimandonotaapidipagina"/>
        </w:rPr>
        <w:footnoteRef/>
      </w:r>
      <w:r>
        <w:t xml:space="preserve"> Regolamento </w:t>
      </w:r>
      <w:r w:rsidRPr="00E33C09">
        <w:rPr>
          <w:bCs/>
          <w:iCs/>
        </w:rPr>
        <w:t>emanato con DR 1123 del 29 settembre 2016</w:t>
      </w:r>
      <w:r>
        <w:rPr>
          <w:bCs/>
          <w:iCs/>
        </w:rPr>
        <w:t xml:space="preserve"> e successivamente aggiornato nel 2020 con DR 2038/2020</w:t>
      </w:r>
    </w:p>
  </w:footnote>
  <w:footnote w:id="16">
    <w:p w:rsidR="008977D9" w:rsidRDefault="008977D9">
      <w:pPr>
        <w:pStyle w:val="Testonotaapidipagina"/>
      </w:pPr>
      <w:r>
        <w:rPr>
          <w:rStyle w:val="Rimandonotaapidipagina"/>
        </w:rPr>
        <w:footnoteRef/>
      </w:r>
      <w:r>
        <w:t xml:space="preserve"> Regolamento emanato con</w:t>
      </w:r>
      <w:r w:rsidRPr="00E33C09">
        <w:rPr>
          <w:bCs/>
          <w:iCs/>
        </w:rPr>
        <w:t xml:space="preserve"> </w:t>
      </w:r>
      <w:r>
        <w:rPr>
          <w:bCs/>
          <w:iCs/>
        </w:rPr>
        <w:t>D.R. 1450 del 30 settembre 2014</w:t>
      </w:r>
    </w:p>
  </w:footnote>
  <w:footnote w:id="17">
    <w:p w:rsidR="008977D9" w:rsidRDefault="008977D9">
      <w:pPr>
        <w:pStyle w:val="Testonotaapidipagina"/>
      </w:pPr>
      <w:r>
        <w:rPr>
          <w:rStyle w:val="Rimandonotaapidipagina"/>
        </w:rPr>
        <w:footnoteRef/>
      </w:r>
      <w:r>
        <w:t xml:space="preserve"> La relazione del lavoro svolto è pubblicata nel paragrafo “</w:t>
      </w:r>
      <w:proofErr w:type="spellStart"/>
      <w:r>
        <w:t>Whistleblowing</w:t>
      </w:r>
      <w:proofErr w:type="spellEnd"/>
      <w:r>
        <w:t>” del Piano per la prevenzione della corruzione e per la trasparenza 2021-2023</w:t>
      </w:r>
    </w:p>
  </w:footnote>
  <w:footnote w:id="18">
    <w:p w:rsidR="008977D9" w:rsidRDefault="008977D9" w:rsidP="000A2290">
      <w:pPr>
        <w:pStyle w:val="Testonotaapidipagina"/>
      </w:pPr>
      <w:r>
        <w:rPr>
          <w:rStyle w:val="Rimandonotaapidipagina"/>
        </w:rPr>
        <w:footnoteRef/>
      </w:r>
      <w:r w:rsidR="004D1BE9">
        <w:t xml:space="preserve"> Adottato con </w:t>
      </w:r>
      <w:r>
        <w:rPr>
          <w:bCs/>
          <w:iCs/>
        </w:rPr>
        <w:t xml:space="preserve">D.R. n. 362 del 06 marzo </w:t>
      </w:r>
      <w:r w:rsidRPr="00F90917">
        <w:rPr>
          <w:bCs/>
          <w:iCs/>
        </w:rPr>
        <w:t>2015</w:t>
      </w:r>
    </w:p>
  </w:footnote>
  <w:footnote w:id="19">
    <w:p w:rsidR="008977D9" w:rsidRDefault="008977D9" w:rsidP="000A2290">
      <w:pPr>
        <w:pStyle w:val="Testonotaapidipagina"/>
      </w:pPr>
      <w:r>
        <w:rPr>
          <w:rStyle w:val="Rimandonotaapidipagina"/>
        </w:rPr>
        <w:footnoteRef/>
      </w:r>
      <w:r w:rsidR="004D1BE9">
        <w:t xml:space="preserve"> Adottato con</w:t>
      </w:r>
      <w:r>
        <w:t xml:space="preserve"> </w:t>
      </w:r>
      <w:r w:rsidRPr="00F90917">
        <w:rPr>
          <w:bCs/>
          <w:iCs/>
        </w:rPr>
        <w:t>D.R. n. 1381 del 28 luglio 2011</w:t>
      </w:r>
    </w:p>
  </w:footnote>
  <w:footnote w:id="20">
    <w:p w:rsidR="008977D9" w:rsidRDefault="008977D9" w:rsidP="000A2290">
      <w:pPr>
        <w:pStyle w:val="Testonotaapidipagina"/>
      </w:pPr>
      <w:r>
        <w:rPr>
          <w:rStyle w:val="Rimandonotaapidipagina"/>
        </w:rPr>
        <w:footnoteRef/>
      </w:r>
      <w:r>
        <w:t xml:space="preserve"> </w:t>
      </w:r>
      <w:r w:rsidRPr="003C4F8A">
        <w:t>http://www.unisi.it/ateneo/adempimenti/amministrazione-trasparente/disposizioni-ge</w:t>
      </w:r>
      <w:r>
        <w:t>nerali/programma-la-trasparenza</w:t>
      </w:r>
    </w:p>
  </w:footnote>
  <w:footnote w:id="21">
    <w:p w:rsidR="005C2FF1" w:rsidRDefault="005C2FF1">
      <w:pPr>
        <w:pStyle w:val="Testonotaapidipagina"/>
      </w:pPr>
      <w:r>
        <w:rPr>
          <w:rStyle w:val="Rimandonotaapidipagina"/>
        </w:rPr>
        <w:footnoteRef/>
      </w:r>
      <w:r>
        <w:t xml:space="preserve"> Vedi sopra </w:t>
      </w:r>
      <w:r w:rsidR="00682F19" w:rsidRPr="00682F19">
        <w:t>note n. 3, 4 e 5.</w:t>
      </w:r>
    </w:p>
  </w:footnote>
  <w:footnote w:id="22">
    <w:p w:rsidR="008977D9" w:rsidRDefault="008977D9">
      <w:pPr>
        <w:pStyle w:val="Testonotaapidipagina"/>
      </w:pPr>
      <w:r>
        <w:rPr>
          <w:rStyle w:val="Rimandonotaapidipagina"/>
        </w:rPr>
        <w:footnoteRef/>
      </w:r>
      <w:r>
        <w:t xml:space="preserve"> </w:t>
      </w:r>
      <w:r w:rsidRPr="00291CD5">
        <w:t xml:space="preserve">https://www.unisi.it/ateneo/adempimenti/urp-e-europe-direct/accesso-civico </w:t>
      </w:r>
    </w:p>
  </w:footnote>
  <w:footnote w:id="23">
    <w:p w:rsidR="00D31727" w:rsidRPr="00076C77" w:rsidRDefault="00D31727">
      <w:pPr>
        <w:pStyle w:val="Testonotaapidipagina"/>
        <w:rPr>
          <w:bCs/>
        </w:rPr>
      </w:pPr>
      <w:r>
        <w:rPr>
          <w:rStyle w:val="Rimandonotaapidipagina"/>
        </w:rPr>
        <w:footnoteRef/>
      </w:r>
      <w:r>
        <w:t xml:space="preserve"> La qualificazione delle n. </w:t>
      </w:r>
      <w:r w:rsidR="00A9070A">
        <w:t>185</w:t>
      </w:r>
      <w:r>
        <w:t xml:space="preserve"> </w:t>
      </w:r>
      <w:r w:rsidR="00076C77">
        <w:t>istanze</w:t>
      </w:r>
      <w:r>
        <w:t xml:space="preserve"> come “accesso ai sensi dell’art. 22, L. 241/90” discende dalla reale natura della richiesta</w:t>
      </w:r>
      <w:r w:rsidR="00076C77">
        <w:t>, indipendentemente dalla qualificazione fatta dal richiedente.</w:t>
      </w:r>
      <w:r>
        <w:t xml:space="preserve"> </w:t>
      </w:r>
      <w:r w:rsidR="00076C77">
        <w:t>L</w:t>
      </w:r>
      <w:r>
        <w:t xml:space="preserve">a Circolare ministeriale n. 2/2017 </w:t>
      </w:r>
      <w:r w:rsidR="00076C77">
        <w:t>chiarisce che</w:t>
      </w:r>
      <w:r>
        <w:t xml:space="preserve"> </w:t>
      </w:r>
      <w:r w:rsidRPr="00D31727">
        <w:rPr>
          <w:bCs/>
        </w:rPr>
        <w:t xml:space="preserve">l’amministrazione </w:t>
      </w:r>
      <w:r w:rsidR="00076C77">
        <w:rPr>
          <w:bCs/>
        </w:rPr>
        <w:t>è</w:t>
      </w:r>
      <w:r w:rsidRPr="00D31727">
        <w:rPr>
          <w:bCs/>
        </w:rPr>
        <w:t xml:space="preserve"> tenuta a verificare</w:t>
      </w:r>
      <w:r>
        <w:rPr>
          <w:bCs/>
        </w:rPr>
        <w:t xml:space="preserve">, </w:t>
      </w:r>
      <w:r w:rsidRPr="00D31727">
        <w:rPr>
          <w:bCs/>
        </w:rPr>
        <w:t>a prescindere dalla qualificazione datane dal rich</w:t>
      </w:r>
      <w:r>
        <w:rPr>
          <w:bCs/>
        </w:rPr>
        <w:t>iedente o dal modulo compilato,</w:t>
      </w:r>
      <w:r w:rsidRPr="00D31727">
        <w:rPr>
          <w:bCs/>
        </w:rPr>
        <w:t xml:space="preserve"> quale disciplina attuare, </w:t>
      </w:r>
      <w:r w:rsidR="00076C77">
        <w:rPr>
          <w:bCs/>
        </w:rPr>
        <w:t>favorendo il</w:t>
      </w:r>
      <w:r w:rsidRPr="00D31727">
        <w:rPr>
          <w:bCs/>
        </w:rPr>
        <w:t xml:space="preserve"> “principio di tutela preferenziale dell’interesse conoscitivo</w:t>
      </w:r>
      <w:r w:rsidR="00076C77">
        <w:rPr>
          <w:bCs/>
        </w:rPr>
        <w:t>”.</w:t>
      </w:r>
    </w:p>
  </w:footnote>
  <w:footnote w:id="24">
    <w:p w:rsidR="008977D9" w:rsidRDefault="008977D9" w:rsidP="000A2290">
      <w:pPr>
        <w:pStyle w:val="Testonotaapidipagina"/>
      </w:pPr>
      <w:r>
        <w:rPr>
          <w:rStyle w:val="Rimandonotaapidipagina"/>
        </w:rPr>
        <w:footnoteRef/>
      </w:r>
      <w:r>
        <w:t xml:space="preserve"> </w:t>
      </w:r>
      <w:r w:rsidRPr="00F32C6C">
        <w:t>https://www.unisi.it/ateneo/adempimenti/amministrazione_trasparente</w:t>
      </w:r>
    </w:p>
  </w:footnote>
  <w:footnote w:id="25">
    <w:p w:rsidR="00A921D9" w:rsidRPr="002343BB" w:rsidRDefault="00A921D9" w:rsidP="00076C77">
      <w:pPr>
        <w:pStyle w:val="Testonotaapidipagina"/>
        <w:rPr>
          <w:bCs/>
        </w:rPr>
      </w:pPr>
      <w:r w:rsidRPr="00076C77">
        <w:rPr>
          <w:bCs/>
          <w:vertAlign w:val="superscript"/>
        </w:rPr>
        <w:footnoteRef/>
      </w:r>
      <w:r w:rsidR="00076C77">
        <w:rPr>
          <w:bCs/>
        </w:rPr>
        <w:t xml:space="preserve"> </w:t>
      </w:r>
      <w:r w:rsidR="00CA1B8A" w:rsidRPr="00CA1B8A">
        <w:rPr>
          <w:bCs/>
        </w:rPr>
        <w:t>https://www.unisi.it/ateneo/adempimenti/amministrazione-trasparente/bandi-di-gara-e-contratti/atti-delle-13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D9" w:rsidRDefault="008977D9">
    <w:pPr>
      <w:pStyle w:val="Intestazione"/>
    </w:pPr>
    <w:r>
      <w:rPr>
        <w:noProof/>
        <w:lang w:eastAsia="it-IT"/>
      </w:rPr>
      <w:drawing>
        <wp:inline distT="0" distB="0" distL="0" distR="0" wp14:anchorId="43B8C11D" wp14:editId="21D547F5">
          <wp:extent cx="1200785" cy="1237615"/>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237615"/>
                  </a:xfrm>
                  <a:prstGeom prst="rect">
                    <a:avLst/>
                  </a:prstGeom>
                  <a:noFill/>
                </pic:spPr>
              </pic:pic>
            </a:graphicData>
          </a:graphic>
        </wp:inline>
      </w:drawing>
    </w:r>
    <w:r>
      <w:tab/>
    </w:r>
    <w:r>
      <w:tab/>
      <w:t>RESPONSABILE PER LA PREVENZIONE DELLA</w:t>
    </w:r>
  </w:p>
  <w:p w:rsidR="008977D9" w:rsidRDefault="008977D9">
    <w:pPr>
      <w:pStyle w:val="Intestazione"/>
    </w:pPr>
    <w:r>
      <w:tab/>
      <w:t xml:space="preserve">                                                                                                     CORRUZIONE E DELLA TRASPARENZA</w:t>
    </w:r>
  </w:p>
  <w:p w:rsidR="008977D9" w:rsidRDefault="008977D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11479"/>
    <w:multiLevelType w:val="hybridMultilevel"/>
    <w:tmpl w:val="99283E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083448"/>
    <w:multiLevelType w:val="hybridMultilevel"/>
    <w:tmpl w:val="B212C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3E0EE7"/>
    <w:multiLevelType w:val="hybridMultilevel"/>
    <w:tmpl w:val="483224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81"/>
    <w:rsid w:val="000172AD"/>
    <w:rsid w:val="0003282B"/>
    <w:rsid w:val="00043E3B"/>
    <w:rsid w:val="0005552B"/>
    <w:rsid w:val="00076C77"/>
    <w:rsid w:val="000918CE"/>
    <w:rsid w:val="000A2290"/>
    <w:rsid w:val="000C3064"/>
    <w:rsid w:val="000D105B"/>
    <w:rsid w:val="000E14D3"/>
    <w:rsid w:val="000E16E0"/>
    <w:rsid w:val="000E370C"/>
    <w:rsid w:val="001561BA"/>
    <w:rsid w:val="00186427"/>
    <w:rsid w:val="001933B7"/>
    <w:rsid w:val="001C5100"/>
    <w:rsid w:val="001D3845"/>
    <w:rsid w:val="001E2D41"/>
    <w:rsid w:val="0020501F"/>
    <w:rsid w:val="00225DBD"/>
    <w:rsid w:val="00241E18"/>
    <w:rsid w:val="00246BA9"/>
    <w:rsid w:val="00251199"/>
    <w:rsid w:val="00255469"/>
    <w:rsid w:val="00264DF4"/>
    <w:rsid w:val="00265073"/>
    <w:rsid w:val="00267D0B"/>
    <w:rsid w:val="00274A90"/>
    <w:rsid w:val="00291CD5"/>
    <w:rsid w:val="002A3333"/>
    <w:rsid w:val="002A53FD"/>
    <w:rsid w:val="002B5615"/>
    <w:rsid w:val="002D0620"/>
    <w:rsid w:val="002D1207"/>
    <w:rsid w:val="002D68E6"/>
    <w:rsid w:val="002E23B6"/>
    <w:rsid w:val="002F0E36"/>
    <w:rsid w:val="002F6205"/>
    <w:rsid w:val="00314DE3"/>
    <w:rsid w:val="00322AD2"/>
    <w:rsid w:val="00332C9E"/>
    <w:rsid w:val="003538FF"/>
    <w:rsid w:val="00357418"/>
    <w:rsid w:val="00370683"/>
    <w:rsid w:val="00383D62"/>
    <w:rsid w:val="00393F59"/>
    <w:rsid w:val="003A0BCB"/>
    <w:rsid w:val="003A2472"/>
    <w:rsid w:val="003A6D1B"/>
    <w:rsid w:val="003D61BB"/>
    <w:rsid w:val="003E3045"/>
    <w:rsid w:val="003E63ED"/>
    <w:rsid w:val="00427074"/>
    <w:rsid w:val="0044352E"/>
    <w:rsid w:val="00447374"/>
    <w:rsid w:val="00452787"/>
    <w:rsid w:val="00456AE1"/>
    <w:rsid w:val="00457A47"/>
    <w:rsid w:val="00464BE6"/>
    <w:rsid w:val="00474ECF"/>
    <w:rsid w:val="004A4CED"/>
    <w:rsid w:val="004B38B4"/>
    <w:rsid w:val="004D1BE9"/>
    <w:rsid w:val="004E6531"/>
    <w:rsid w:val="0052089D"/>
    <w:rsid w:val="0052742E"/>
    <w:rsid w:val="005366D0"/>
    <w:rsid w:val="00550207"/>
    <w:rsid w:val="00552CA0"/>
    <w:rsid w:val="00553BEA"/>
    <w:rsid w:val="00554231"/>
    <w:rsid w:val="005B5924"/>
    <w:rsid w:val="005C2FF1"/>
    <w:rsid w:val="005D5422"/>
    <w:rsid w:val="005E5474"/>
    <w:rsid w:val="005F71FC"/>
    <w:rsid w:val="005F7CC4"/>
    <w:rsid w:val="00613CA8"/>
    <w:rsid w:val="00634DF7"/>
    <w:rsid w:val="0064512E"/>
    <w:rsid w:val="00656214"/>
    <w:rsid w:val="00672B2A"/>
    <w:rsid w:val="00682F19"/>
    <w:rsid w:val="00694003"/>
    <w:rsid w:val="006A3924"/>
    <w:rsid w:val="006B69C6"/>
    <w:rsid w:val="006B7B08"/>
    <w:rsid w:val="006D1BCB"/>
    <w:rsid w:val="006D57A7"/>
    <w:rsid w:val="006E3BD7"/>
    <w:rsid w:val="007045EB"/>
    <w:rsid w:val="00720D79"/>
    <w:rsid w:val="00752439"/>
    <w:rsid w:val="00774A79"/>
    <w:rsid w:val="007836EE"/>
    <w:rsid w:val="00792379"/>
    <w:rsid w:val="0079534A"/>
    <w:rsid w:val="007B05FE"/>
    <w:rsid w:val="007B29B8"/>
    <w:rsid w:val="007C6AEC"/>
    <w:rsid w:val="007E06E2"/>
    <w:rsid w:val="007F054E"/>
    <w:rsid w:val="00804459"/>
    <w:rsid w:val="00811971"/>
    <w:rsid w:val="008211BE"/>
    <w:rsid w:val="0082333B"/>
    <w:rsid w:val="00842523"/>
    <w:rsid w:val="0085005C"/>
    <w:rsid w:val="00860165"/>
    <w:rsid w:val="008663A6"/>
    <w:rsid w:val="0087122F"/>
    <w:rsid w:val="00896281"/>
    <w:rsid w:val="00896726"/>
    <w:rsid w:val="008977D9"/>
    <w:rsid w:val="008A4A5D"/>
    <w:rsid w:val="008A4F80"/>
    <w:rsid w:val="008B5D67"/>
    <w:rsid w:val="008B6B9D"/>
    <w:rsid w:val="008C4DBA"/>
    <w:rsid w:val="008D448D"/>
    <w:rsid w:val="00905BD9"/>
    <w:rsid w:val="00910410"/>
    <w:rsid w:val="0091711C"/>
    <w:rsid w:val="00947A15"/>
    <w:rsid w:val="00957D0F"/>
    <w:rsid w:val="00967FB5"/>
    <w:rsid w:val="009741B0"/>
    <w:rsid w:val="009744B1"/>
    <w:rsid w:val="00977302"/>
    <w:rsid w:val="0098172D"/>
    <w:rsid w:val="009B63FE"/>
    <w:rsid w:val="009D05CA"/>
    <w:rsid w:val="009E7342"/>
    <w:rsid w:val="00A03844"/>
    <w:rsid w:val="00A168DC"/>
    <w:rsid w:val="00A240D5"/>
    <w:rsid w:val="00A2798D"/>
    <w:rsid w:val="00A64EC0"/>
    <w:rsid w:val="00A721B0"/>
    <w:rsid w:val="00A86E3A"/>
    <w:rsid w:val="00A9070A"/>
    <w:rsid w:val="00A921D9"/>
    <w:rsid w:val="00AA32A9"/>
    <w:rsid w:val="00AB59B0"/>
    <w:rsid w:val="00AB7E56"/>
    <w:rsid w:val="00AD6FE6"/>
    <w:rsid w:val="00AF36EC"/>
    <w:rsid w:val="00AF6112"/>
    <w:rsid w:val="00B14D07"/>
    <w:rsid w:val="00B22079"/>
    <w:rsid w:val="00B25CAB"/>
    <w:rsid w:val="00B2733B"/>
    <w:rsid w:val="00B37D53"/>
    <w:rsid w:val="00B674FE"/>
    <w:rsid w:val="00B730B2"/>
    <w:rsid w:val="00B90AB7"/>
    <w:rsid w:val="00B90AEB"/>
    <w:rsid w:val="00B9440F"/>
    <w:rsid w:val="00B9543E"/>
    <w:rsid w:val="00BA2BB6"/>
    <w:rsid w:val="00BC2B33"/>
    <w:rsid w:val="00BC786F"/>
    <w:rsid w:val="00C06B85"/>
    <w:rsid w:val="00C20EDF"/>
    <w:rsid w:val="00C403DC"/>
    <w:rsid w:val="00C42327"/>
    <w:rsid w:val="00C4423E"/>
    <w:rsid w:val="00C46245"/>
    <w:rsid w:val="00C46FE9"/>
    <w:rsid w:val="00C64946"/>
    <w:rsid w:val="00C75EC0"/>
    <w:rsid w:val="00C7690E"/>
    <w:rsid w:val="00C84729"/>
    <w:rsid w:val="00C86157"/>
    <w:rsid w:val="00C96DE4"/>
    <w:rsid w:val="00CA1B8A"/>
    <w:rsid w:val="00CA28B9"/>
    <w:rsid w:val="00CE2259"/>
    <w:rsid w:val="00CE657A"/>
    <w:rsid w:val="00CF0D7A"/>
    <w:rsid w:val="00CF3EE4"/>
    <w:rsid w:val="00D10B59"/>
    <w:rsid w:val="00D31727"/>
    <w:rsid w:val="00D55D26"/>
    <w:rsid w:val="00D62A57"/>
    <w:rsid w:val="00D8629C"/>
    <w:rsid w:val="00D92D99"/>
    <w:rsid w:val="00DA23A3"/>
    <w:rsid w:val="00DC666F"/>
    <w:rsid w:val="00DD3DDB"/>
    <w:rsid w:val="00DE0BE2"/>
    <w:rsid w:val="00DE5813"/>
    <w:rsid w:val="00DF7685"/>
    <w:rsid w:val="00E027A6"/>
    <w:rsid w:val="00E067B0"/>
    <w:rsid w:val="00E15236"/>
    <w:rsid w:val="00E17AFE"/>
    <w:rsid w:val="00E219B1"/>
    <w:rsid w:val="00E33C09"/>
    <w:rsid w:val="00E51592"/>
    <w:rsid w:val="00E81E9D"/>
    <w:rsid w:val="00E85CD0"/>
    <w:rsid w:val="00EA003F"/>
    <w:rsid w:val="00EB4861"/>
    <w:rsid w:val="00EC5D81"/>
    <w:rsid w:val="00EE3421"/>
    <w:rsid w:val="00EF7593"/>
    <w:rsid w:val="00F01F05"/>
    <w:rsid w:val="00F038CA"/>
    <w:rsid w:val="00F14135"/>
    <w:rsid w:val="00F238C6"/>
    <w:rsid w:val="00F52F81"/>
    <w:rsid w:val="00F57727"/>
    <w:rsid w:val="00F93DFB"/>
    <w:rsid w:val="00FA29B8"/>
    <w:rsid w:val="00FA4448"/>
    <w:rsid w:val="00FC4F9C"/>
    <w:rsid w:val="00FD1285"/>
    <w:rsid w:val="00FD5947"/>
    <w:rsid w:val="00FE0E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6FAA63DA-F202-4B76-891B-7F2363C8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896281"/>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896281"/>
    <w:rPr>
      <w:rFonts w:ascii="Calibri" w:eastAsia="Calibri" w:hAnsi="Calibri" w:cs="Times New Roman"/>
      <w:sz w:val="20"/>
      <w:szCs w:val="20"/>
    </w:rPr>
  </w:style>
  <w:style w:type="character" w:styleId="Rimandonotaapidipagina">
    <w:name w:val="footnote reference"/>
    <w:uiPriority w:val="99"/>
    <w:unhideWhenUsed/>
    <w:rsid w:val="00896281"/>
    <w:rPr>
      <w:vertAlign w:val="superscript"/>
    </w:rPr>
  </w:style>
  <w:style w:type="table" w:styleId="Grigliatabella">
    <w:name w:val="Table Grid"/>
    <w:basedOn w:val="Tabellanormale"/>
    <w:uiPriority w:val="39"/>
    <w:rsid w:val="0089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044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4459"/>
  </w:style>
  <w:style w:type="paragraph" w:styleId="Pidipagina">
    <w:name w:val="footer"/>
    <w:basedOn w:val="Normale"/>
    <w:link w:val="PidipaginaCarattere"/>
    <w:uiPriority w:val="99"/>
    <w:unhideWhenUsed/>
    <w:rsid w:val="008044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4459"/>
  </w:style>
  <w:style w:type="character" w:styleId="Collegamentoipertestuale">
    <w:name w:val="Hyperlink"/>
    <w:basedOn w:val="Carpredefinitoparagrafo"/>
    <w:uiPriority w:val="99"/>
    <w:unhideWhenUsed/>
    <w:rsid w:val="00427074"/>
    <w:rPr>
      <w:color w:val="0563C1" w:themeColor="hyperlink"/>
      <w:u w:val="single"/>
    </w:rPr>
  </w:style>
  <w:style w:type="paragraph" w:styleId="Paragrafoelenco">
    <w:name w:val="List Paragraph"/>
    <w:basedOn w:val="Normale"/>
    <w:uiPriority w:val="34"/>
    <w:qFormat/>
    <w:rsid w:val="00B25CAB"/>
    <w:pPr>
      <w:ind w:left="720"/>
      <w:contextualSpacing/>
    </w:pPr>
  </w:style>
  <w:style w:type="character" w:styleId="Rimandocommento">
    <w:name w:val="annotation reference"/>
    <w:basedOn w:val="Carpredefinitoparagrafo"/>
    <w:uiPriority w:val="99"/>
    <w:semiHidden/>
    <w:unhideWhenUsed/>
    <w:rsid w:val="007B29B8"/>
    <w:rPr>
      <w:sz w:val="16"/>
      <w:szCs w:val="16"/>
    </w:rPr>
  </w:style>
  <w:style w:type="paragraph" w:styleId="Testocommento">
    <w:name w:val="annotation text"/>
    <w:basedOn w:val="Normale"/>
    <w:link w:val="TestocommentoCarattere"/>
    <w:uiPriority w:val="99"/>
    <w:semiHidden/>
    <w:unhideWhenUsed/>
    <w:rsid w:val="007B29B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B29B8"/>
    <w:rPr>
      <w:sz w:val="20"/>
      <w:szCs w:val="20"/>
    </w:rPr>
  </w:style>
  <w:style w:type="paragraph" w:styleId="Soggettocommento">
    <w:name w:val="annotation subject"/>
    <w:basedOn w:val="Testocommento"/>
    <w:next w:val="Testocommento"/>
    <w:link w:val="SoggettocommentoCarattere"/>
    <w:uiPriority w:val="99"/>
    <w:semiHidden/>
    <w:unhideWhenUsed/>
    <w:rsid w:val="007B29B8"/>
    <w:rPr>
      <w:b/>
      <w:bCs/>
    </w:rPr>
  </w:style>
  <w:style w:type="character" w:customStyle="1" w:styleId="SoggettocommentoCarattere">
    <w:name w:val="Soggetto commento Carattere"/>
    <w:basedOn w:val="TestocommentoCarattere"/>
    <w:link w:val="Soggettocommento"/>
    <w:uiPriority w:val="99"/>
    <w:semiHidden/>
    <w:rsid w:val="007B29B8"/>
    <w:rPr>
      <w:b/>
      <w:bCs/>
      <w:sz w:val="20"/>
      <w:szCs w:val="20"/>
    </w:rPr>
  </w:style>
  <w:style w:type="paragraph" w:styleId="Revisione">
    <w:name w:val="Revision"/>
    <w:hidden/>
    <w:uiPriority w:val="99"/>
    <w:semiHidden/>
    <w:rsid w:val="007B29B8"/>
    <w:pPr>
      <w:spacing w:after="0" w:line="240" w:lineRule="auto"/>
    </w:pPr>
  </w:style>
  <w:style w:type="paragraph" w:styleId="Testofumetto">
    <w:name w:val="Balloon Text"/>
    <w:basedOn w:val="Normale"/>
    <w:link w:val="TestofumettoCarattere"/>
    <w:uiPriority w:val="99"/>
    <w:semiHidden/>
    <w:unhideWhenUsed/>
    <w:rsid w:val="007B29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2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97419">
      <w:bodyDiv w:val="1"/>
      <w:marLeft w:val="0"/>
      <w:marRight w:val="0"/>
      <w:marTop w:val="0"/>
      <w:marBottom w:val="0"/>
      <w:divBdr>
        <w:top w:val="none" w:sz="0" w:space="0" w:color="auto"/>
        <w:left w:val="none" w:sz="0" w:space="0" w:color="auto"/>
        <w:bottom w:val="none" w:sz="0" w:space="0" w:color="auto"/>
        <w:right w:val="none" w:sz="0" w:space="0" w:color="auto"/>
      </w:divBdr>
      <w:divsChild>
        <w:div w:id="51218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0729">
              <w:marLeft w:val="0"/>
              <w:marRight w:val="0"/>
              <w:marTop w:val="0"/>
              <w:marBottom w:val="0"/>
              <w:divBdr>
                <w:top w:val="none" w:sz="0" w:space="0" w:color="auto"/>
                <w:left w:val="none" w:sz="0" w:space="0" w:color="auto"/>
                <w:bottom w:val="none" w:sz="0" w:space="0" w:color="auto"/>
                <w:right w:val="none" w:sz="0" w:space="0" w:color="auto"/>
              </w:divBdr>
              <w:divsChild>
                <w:div w:id="296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isi.it/ateneo/adempimenti/amministrazione-trasparente/disposizioni-generali/programma-la-trasparen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B47F-CC33-4AB9-92E5-3BE2CCEC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11</Pages>
  <Words>3835</Words>
  <Characters>21866</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Capano Anna</dc:creator>
  <cp:keywords/>
  <dc:description/>
  <cp:lastModifiedBy>Capano Anna</cp:lastModifiedBy>
  <cp:revision>76</cp:revision>
  <cp:lastPrinted>2022-02-11T12:47:00Z</cp:lastPrinted>
  <dcterms:created xsi:type="dcterms:W3CDTF">2021-03-02T11:01:00Z</dcterms:created>
  <dcterms:modified xsi:type="dcterms:W3CDTF">2022-02-11T15:41:00Z</dcterms:modified>
</cp:coreProperties>
</file>