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DAE" w:rsidRPr="0076702A" w:rsidRDefault="00865DAE" w:rsidP="00865DAE">
      <w:pPr>
        <w:spacing w:before="60" w:after="120" w:line="247" w:lineRule="auto"/>
        <w:jc w:val="both"/>
        <w:rPr>
          <w:rFonts w:ascii="Source Sans Pro" w:eastAsia="Calibri" w:hAnsi="Source Sans Pro" w:cs="Calibri"/>
          <w:b/>
        </w:rPr>
      </w:pPr>
      <w:r w:rsidRPr="0076702A">
        <w:rPr>
          <w:rFonts w:ascii="Source Sans Pro" w:eastAsia="Calibri" w:hAnsi="Source Sans Pro" w:cs="Calibri"/>
        </w:rPr>
        <w:t xml:space="preserve">Concorso </w:t>
      </w:r>
      <w:r w:rsidRPr="00366DC4">
        <w:rPr>
          <w:rFonts w:ascii="Source Sans Pro" w:eastAsia="Calibri" w:hAnsi="Source Sans Pro" w:cs="Calibri"/>
          <w:color w:val="5B9BD5"/>
        </w:rPr>
        <w:t xml:space="preserve">(copiare l’oggetto del bando di interesse) </w:t>
      </w:r>
      <w:r w:rsidRPr="0076702A">
        <w:rPr>
          <w:rFonts w:ascii="Source Sans Pro" w:eastAsia="Calibri" w:hAnsi="Source Sans Pro" w:cs="Calibri"/>
        </w:rPr>
        <w:t xml:space="preserve">D.D.G. prot. n. __________________ del __________________ </w:t>
      </w:r>
      <w:r w:rsidRPr="0076702A">
        <w:rPr>
          <w:rFonts w:ascii="Source Sans Pro" w:eastAsia="Calibri" w:hAnsi="Source Sans Pro" w:cs="Calibri"/>
          <w:color w:val="5B9BD5"/>
        </w:rPr>
        <w:t>(riportare gli estremi di protocollo, visibili sulla stringa rossa del bando)</w:t>
      </w:r>
    </w:p>
    <w:p w:rsidR="00865DAE" w:rsidRPr="00366DC4" w:rsidRDefault="00865DAE" w:rsidP="00865DAE">
      <w:pPr>
        <w:spacing w:before="60" w:after="120" w:line="247" w:lineRule="auto"/>
        <w:jc w:val="both"/>
        <w:rPr>
          <w:rFonts w:ascii="Source Sans Pro" w:eastAsia="Calibri" w:hAnsi="Source Sans Pro" w:cs="Calibri"/>
          <w:color w:val="5B9BD5"/>
        </w:rPr>
      </w:pPr>
      <w:r w:rsidRPr="0076702A">
        <w:rPr>
          <w:rFonts w:ascii="Source Sans Pro" w:eastAsia="Calibri" w:hAnsi="Source Sans Pro" w:cs="Calibri"/>
        </w:rPr>
        <w:t xml:space="preserve">Rif. ____________________ </w:t>
      </w:r>
      <w:r w:rsidRPr="0076702A">
        <w:rPr>
          <w:rFonts w:ascii="Source Sans Pro" w:eastAsia="Calibri" w:hAnsi="Source Sans Pro" w:cs="Calibri"/>
          <w:color w:val="4F81BD" w:themeColor="accent1"/>
        </w:rPr>
        <w:t>(</w:t>
      </w:r>
      <w:r w:rsidRPr="00366DC4">
        <w:rPr>
          <w:rFonts w:ascii="Source Sans Pro" w:eastAsia="Calibri" w:hAnsi="Source Sans Pro" w:cs="Calibri"/>
          <w:color w:val="5B9BD5"/>
        </w:rPr>
        <w:t>eventuale)</w:t>
      </w:r>
    </w:p>
    <w:p w:rsidR="00865DAE" w:rsidRPr="00865DAE" w:rsidRDefault="00865DAE" w:rsidP="00C97353">
      <w:pPr>
        <w:autoSpaceDE w:val="0"/>
        <w:autoSpaceDN w:val="0"/>
        <w:adjustRightInd w:val="0"/>
        <w:spacing w:after="0" w:line="240" w:lineRule="auto"/>
        <w:jc w:val="center"/>
        <w:rPr>
          <w:rFonts w:ascii="Source Sans Pro" w:hAnsi="Source Sans Pro" w:cs="Calibri-Bold"/>
          <w:b/>
          <w:bCs/>
          <w:sz w:val="21"/>
          <w:szCs w:val="21"/>
        </w:rPr>
      </w:pPr>
    </w:p>
    <w:p w:rsidR="00C97353" w:rsidRPr="00865DAE" w:rsidRDefault="00C97353" w:rsidP="00C97353">
      <w:pPr>
        <w:autoSpaceDE w:val="0"/>
        <w:autoSpaceDN w:val="0"/>
        <w:adjustRightInd w:val="0"/>
        <w:spacing w:after="0" w:line="240" w:lineRule="auto"/>
        <w:jc w:val="center"/>
        <w:rPr>
          <w:rFonts w:ascii="Source Sans Pro" w:hAnsi="Source Sans Pro" w:cs="Calibri-Bold"/>
          <w:b/>
          <w:bCs/>
          <w:sz w:val="21"/>
          <w:szCs w:val="21"/>
        </w:rPr>
      </w:pPr>
      <w:r w:rsidRPr="00865DAE">
        <w:rPr>
          <w:rFonts w:ascii="Source Sans Pro" w:hAnsi="Source Sans Pro" w:cs="Calibri-Bold"/>
          <w:b/>
          <w:bCs/>
          <w:sz w:val="21"/>
          <w:szCs w:val="21"/>
        </w:rPr>
        <w:t>DICHIARAZIONE SOSTITUTIVA DI CERTIFICAZIONE</w:t>
      </w:r>
    </w:p>
    <w:p w:rsidR="00C97353" w:rsidRPr="00865DAE" w:rsidRDefault="00C97353" w:rsidP="00C97353">
      <w:pPr>
        <w:autoSpaceDE w:val="0"/>
        <w:autoSpaceDN w:val="0"/>
        <w:adjustRightInd w:val="0"/>
        <w:spacing w:after="0" w:line="240" w:lineRule="auto"/>
        <w:jc w:val="center"/>
        <w:rPr>
          <w:rFonts w:ascii="Source Sans Pro" w:hAnsi="Source Sans Pro" w:cs="Calibri"/>
          <w:sz w:val="21"/>
          <w:szCs w:val="21"/>
        </w:rPr>
      </w:pPr>
      <w:r w:rsidRPr="00865DAE">
        <w:rPr>
          <w:rFonts w:ascii="Source Sans Pro" w:hAnsi="Source Sans Pro" w:cs="Calibri"/>
          <w:sz w:val="21"/>
          <w:szCs w:val="21"/>
        </w:rPr>
        <w:t>(D.P.R. 445 del 28/12/2000)</w:t>
      </w:r>
    </w:p>
    <w:p w:rsidR="00190B21" w:rsidRPr="00865DAE" w:rsidRDefault="00190B21" w:rsidP="00C97353">
      <w:pPr>
        <w:autoSpaceDE w:val="0"/>
        <w:autoSpaceDN w:val="0"/>
        <w:adjustRightInd w:val="0"/>
        <w:spacing w:after="0" w:line="240" w:lineRule="auto"/>
        <w:rPr>
          <w:rFonts w:ascii="Source Sans Pro" w:hAnsi="Source Sans Pro" w:cs="Calibri"/>
          <w:sz w:val="21"/>
          <w:szCs w:val="21"/>
        </w:rPr>
      </w:pPr>
    </w:p>
    <w:p w:rsidR="00C97353" w:rsidRPr="00865DAE" w:rsidRDefault="00C97353" w:rsidP="00C97353">
      <w:pPr>
        <w:autoSpaceDE w:val="0"/>
        <w:autoSpaceDN w:val="0"/>
        <w:adjustRightInd w:val="0"/>
        <w:spacing w:after="0" w:line="240" w:lineRule="auto"/>
        <w:rPr>
          <w:rFonts w:ascii="Source Sans Pro" w:hAnsi="Source Sans Pro" w:cs="Calibri"/>
          <w:sz w:val="21"/>
          <w:szCs w:val="21"/>
        </w:rPr>
      </w:pPr>
    </w:p>
    <w:p w:rsidR="003E7C27" w:rsidRPr="00865DAE" w:rsidRDefault="00042375" w:rsidP="004F65DB">
      <w:pPr>
        <w:spacing w:after="0" w:line="480" w:lineRule="auto"/>
        <w:jc w:val="both"/>
        <w:rPr>
          <w:rFonts w:ascii="Source Sans Pro" w:hAnsi="Source Sans Pro" w:cs="Calibri"/>
          <w:sz w:val="21"/>
          <w:szCs w:val="21"/>
        </w:rPr>
      </w:pPr>
      <w:r w:rsidRPr="00865DAE">
        <w:rPr>
          <w:rFonts w:ascii="Source Sans Pro" w:hAnsi="Source Sans Pro" w:cs="Calibri"/>
          <w:sz w:val="21"/>
          <w:szCs w:val="21"/>
        </w:rPr>
        <w:t xml:space="preserve">Il/La </w:t>
      </w:r>
      <w:proofErr w:type="spellStart"/>
      <w:r w:rsidRPr="00865DAE">
        <w:rPr>
          <w:rFonts w:ascii="Source Sans Pro" w:hAnsi="Source Sans Pro" w:cs="Calibri"/>
          <w:sz w:val="21"/>
          <w:szCs w:val="21"/>
        </w:rPr>
        <w:t>sottoscritt</w:t>
      </w:r>
      <w:proofErr w:type="spellEnd"/>
      <w:r w:rsidRPr="00865DAE">
        <w:rPr>
          <w:rFonts w:ascii="Source Sans Pro" w:hAnsi="Source Sans Pro" w:cs="Calibri"/>
          <w:sz w:val="21"/>
          <w:szCs w:val="21"/>
        </w:rPr>
        <w:t xml:space="preserve">__ </w:t>
      </w:r>
      <w:r w:rsidR="00C97353" w:rsidRPr="00865DAE">
        <w:rPr>
          <w:rFonts w:ascii="Source Sans Pro" w:hAnsi="Source Sans Pro" w:cs="Calibri"/>
          <w:sz w:val="21"/>
          <w:szCs w:val="21"/>
        </w:rPr>
        <w:t>_____________________</w:t>
      </w:r>
      <w:r w:rsidR="00160E7C" w:rsidRPr="00865DAE">
        <w:rPr>
          <w:rFonts w:ascii="Source Sans Pro" w:hAnsi="Source Sans Pro" w:cs="Calibri"/>
          <w:sz w:val="21"/>
          <w:szCs w:val="21"/>
        </w:rPr>
        <w:t>________</w:t>
      </w:r>
      <w:r w:rsidR="00C97353" w:rsidRPr="00865DAE">
        <w:rPr>
          <w:rFonts w:ascii="Source Sans Pro" w:hAnsi="Source Sans Pro" w:cs="Calibri"/>
          <w:sz w:val="21"/>
          <w:szCs w:val="21"/>
        </w:rPr>
        <w:t xml:space="preserve"> </w:t>
      </w:r>
      <w:r w:rsidR="00190B21" w:rsidRPr="00865DAE">
        <w:rPr>
          <w:rFonts w:ascii="Source Sans Pro" w:hAnsi="Source Sans Pro"/>
        </w:rPr>
        <w:t>nato</w:t>
      </w:r>
      <w:r w:rsidR="0028073A" w:rsidRPr="00865DAE">
        <w:rPr>
          <w:rFonts w:ascii="Source Sans Pro" w:hAnsi="Source Sans Pro"/>
        </w:rPr>
        <w:t>/a</w:t>
      </w:r>
      <w:r w:rsidR="00190B21" w:rsidRPr="00865DAE">
        <w:rPr>
          <w:rFonts w:ascii="Source Sans Pro" w:hAnsi="Source Sans Pro"/>
        </w:rPr>
        <w:t xml:space="preserve"> </w:t>
      </w:r>
      <w:proofErr w:type="spellStart"/>
      <w:r w:rsidR="00190B21" w:rsidRPr="00865DAE">
        <w:rPr>
          <w:rFonts w:ascii="Source Sans Pro" w:hAnsi="Source Sans Pro"/>
        </w:rPr>
        <w:t>a</w:t>
      </w:r>
      <w:proofErr w:type="spellEnd"/>
      <w:r w:rsidR="00190B21" w:rsidRPr="00865DAE">
        <w:rPr>
          <w:rFonts w:ascii="Source Sans Pro" w:hAnsi="Source Sans Pro"/>
        </w:rPr>
        <w:t xml:space="preserve"> ___________</w:t>
      </w:r>
      <w:r w:rsidR="00160E7C" w:rsidRPr="00865DAE">
        <w:rPr>
          <w:rFonts w:ascii="Source Sans Pro" w:hAnsi="Source Sans Pro"/>
        </w:rPr>
        <w:t>__</w:t>
      </w:r>
      <w:r w:rsidR="00190B21" w:rsidRPr="00865DAE">
        <w:rPr>
          <w:rFonts w:ascii="Source Sans Pro" w:hAnsi="Source Sans Pro"/>
        </w:rPr>
        <w:t>_________ il _________</w:t>
      </w:r>
      <w:r w:rsidR="00160E7C" w:rsidRPr="00865DAE">
        <w:rPr>
          <w:rFonts w:ascii="Source Sans Pro" w:hAnsi="Source Sans Pro"/>
        </w:rPr>
        <w:t xml:space="preserve">______ </w:t>
      </w:r>
      <w:r w:rsidR="00190B21" w:rsidRPr="00865DAE">
        <w:rPr>
          <w:rFonts w:ascii="Source Sans Pro" w:hAnsi="Source Sans Pro"/>
        </w:rPr>
        <w:t>codice fiscale ______________________________,</w:t>
      </w:r>
      <w:r w:rsidR="00190B21" w:rsidRPr="00865DAE">
        <w:rPr>
          <w:rFonts w:ascii="Source Sans Pro" w:hAnsi="Source Sans Pro" w:cs="Calibri"/>
          <w:sz w:val="21"/>
          <w:szCs w:val="21"/>
        </w:rPr>
        <w:t xml:space="preserve"> </w:t>
      </w:r>
      <w:r w:rsidR="00C97353" w:rsidRPr="00865DAE">
        <w:rPr>
          <w:rFonts w:ascii="Source Sans Pro" w:hAnsi="Source Sans Pro" w:cs="Calibri"/>
          <w:sz w:val="21"/>
          <w:szCs w:val="21"/>
        </w:rPr>
        <w:t>Professore</w:t>
      </w:r>
      <w:r w:rsidR="009D497E" w:rsidRPr="00865DAE">
        <w:rPr>
          <w:rFonts w:ascii="Source Sans Pro" w:hAnsi="Source Sans Pro" w:cs="Calibri"/>
          <w:sz w:val="21"/>
          <w:szCs w:val="21"/>
        </w:rPr>
        <w:t xml:space="preserve"> </w:t>
      </w:r>
      <w:r w:rsidR="005A4AA7" w:rsidRPr="00865DAE">
        <w:rPr>
          <w:rFonts w:ascii="Source Sans Pro" w:hAnsi="Source Sans Pro" w:cs="Calibri"/>
          <w:sz w:val="21"/>
          <w:szCs w:val="21"/>
        </w:rPr>
        <w:t>ordinario/associato/ricercatore/Personale T.A.</w:t>
      </w:r>
      <w:r w:rsidR="00C41552" w:rsidRPr="00865DAE">
        <w:rPr>
          <w:rFonts w:ascii="Source Sans Pro" w:hAnsi="Source Sans Pro" w:cs="Calibri"/>
          <w:sz w:val="21"/>
          <w:szCs w:val="21"/>
        </w:rPr>
        <w:t>/______________________</w:t>
      </w:r>
      <w:r w:rsidR="005A4AA7" w:rsidRPr="00865DAE">
        <w:rPr>
          <w:rFonts w:ascii="Source Sans Pro" w:hAnsi="Source Sans Pro" w:cs="Calibri"/>
          <w:sz w:val="21"/>
          <w:szCs w:val="21"/>
        </w:rPr>
        <w:t xml:space="preserve"> </w:t>
      </w:r>
      <w:r w:rsidR="00C97353" w:rsidRPr="00865DAE">
        <w:rPr>
          <w:rFonts w:ascii="Source Sans Pro" w:hAnsi="Source Sans Pro" w:cs="Calibri"/>
          <w:sz w:val="21"/>
          <w:szCs w:val="21"/>
        </w:rPr>
        <w:t>presso l’Università degli Studi di ______________</w:t>
      </w:r>
      <w:r w:rsidR="00744055" w:rsidRPr="00865DAE">
        <w:rPr>
          <w:rFonts w:ascii="Source Sans Pro" w:hAnsi="Source Sans Pro" w:cs="Calibri"/>
          <w:sz w:val="21"/>
          <w:szCs w:val="21"/>
        </w:rPr>
        <w:t>________</w:t>
      </w:r>
      <w:r w:rsidR="00C97353" w:rsidRPr="00865DAE">
        <w:rPr>
          <w:rFonts w:ascii="Source Sans Pro" w:hAnsi="Source Sans Pro" w:cs="Calibri"/>
          <w:sz w:val="21"/>
          <w:szCs w:val="21"/>
        </w:rPr>
        <w:t>__,</w:t>
      </w:r>
      <w:r w:rsidR="00744055" w:rsidRPr="00865DAE">
        <w:rPr>
          <w:rFonts w:ascii="Source Sans Pro" w:hAnsi="Source Sans Pro" w:cs="Calibri"/>
          <w:sz w:val="21"/>
          <w:szCs w:val="21"/>
        </w:rPr>
        <w:t xml:space="preserve"> </w:t>
      </w:r>
      <w:r w:rsidR="00C97353" w:rsidRPr="00865DAE">
        <w:rPr>
          <w:rFonts w:ascii="Source Sans Pro" w:hAnsi="Source Sans Pro" w:cs="Calibri"/>
          <w:sz w:val="21"/>
          <w:szCs w:val="21"/>
        </w:rPr>
        <w:t>consapevole delle responsabilità penali previste dagli artt. 75</w:t>
      </w:r>
      <w:r w:rsidR="003E7C27" w:rsidRPr="00865DAE">
        <w:rPr>
          <w:rStyle w:val="Rimandonotadichiusura"/>
          <w:rFonts w:ascii="Source Sans Pro" w:hAnsi="Source Sans Pro" w:cs="Calibri"/>
          <w:sz w:val="21"/>
          <w:szCs w:val="21"/>
        </w:rPr>
        <w:endnoteReference w:id="1"/>
      </w:r>
      <w:r w:rsidR="00AE45E0" w:rsidRPr="00865DAE">
        <w:rPr>
          <w:rFonts w:ascii="Source Sans Pro" w:hAnsi="Source Sans Pro" w:cs="Calibri"/>
          <w:sz w:val="21"/>
          <w:szCs w:val="21"/>
          <w:vertAlign w:val="superscript"/>
        </w:rPr>
        <w:t xml:space="preserve"> </w:t>
      </w:r>
      <w:r w:rsidR="003E7C27" w:rsidRPr="00865DAE">
        <w:rPr>
          <w:rFonts w:ascii="Source Sans Pro" w:hAnsi="Source Sans Pro" w:cs="Calibri"/>
          <w:sz w:val="21"/>
          <w:szCs w:val="21"/>
        </w:rPr>
        <w:t>e 76</w:t>
      </w:r>
      <w:r w:rsidR="003E7C27" w:rsidRPr="00865DAE">
        <w:rPr>
          <w:rStyle w:val="Rimandonotadichiusura"/>
          <w:rFonts w:ascii="Source Sans Pro" w:hAnsi="Source Sans Pro" w:cs="Calibri"/>
          <w:sz w:val="21"/>
          <w:szCs w:val="21"/>
        </w:rPr>
        <w:endnoteReference w:id="2"/>
      </w:r>
      <w:r w:rsidR="003E7C27" w:rsidRPr="00865DAE">
        <w:rPr>
          <w:rFonts w:ascii="Source Sans Pro" w:hAnsi="Source Sans Pro" w:cs="Calibri"/>
          <w:sz w:val="21"/>
          <w:szCs w:val="21"/>
        </w:rPr>
        <w:t xml:space="preserve"> del D.P.R. n.445/2000 per le ipotesi di falsità in atti e dichiarazioni</w:t>
      </w:r>
      <w:r w:rsidR="004F65DB" w:rsidRPr="00865DAE">
        <w:rPr>
          <w:rFonts w:ascii="Source Sans Pro" w:hAnsi="Source Sans Pro" w:cs="Calibri"/>
          <w:sz w:val="21"/>
          <w:szCs w:val="21"/>
        </w:rPr>
        <w:t xml:space="preserve"> </w:t>
      </w:r>
      <w:r w:rsidR="003E7C27" w:rsidRPr="00865DAE">
        <w:rPr>
          <w:rFonts w:ascii="Source Sans Pro" w:hAnsi="Source Sans Pro" w:cs="Calibri"/>
          <w:sz w:val="21"/>
          <w:szCs w:val="21"/>
        </w:rPr>
        <w:t xml:space="preserve">mendaci </w:t>
      </w:r>
    </w:p>
    <w:p w:rsidR="00AE45E0" w:rsidRPr="00865DAE" w:rsidRDefault="003E7C27" w:rsidP="004F65DB">
      <w:pPr>
        <w:autoSpaceDE w:val="0"/>
        <w:autoSpaceDN w:val="0"/>
        <w:adjustRightInd w:val="0"/>
        <w:spacing w:after="0"/>
        <w:jc w:val="center"/>
        <w:rPr>
          <w:rFonts w:ascii="Source Sans Pro" w:hAnsi="Source Sans Pro" w:cs="Calibri"/>
          <w:b/>
          <w:sz w:val="21"/>
          <w:szCs w:val="21"/>
        </w:rPr>
      </w:pPr>
      <w:r w:rsidRPr="00865DAE">
        <w:rPr>
          <w:rFonts w:ascii="Source Sans Pro" w:hAnsi="Source Sans Pro" w:cs="Calibri"/>
          <w:b/>
          <w:sz w:val="21"/>
          <w:szCs w:val="21"/>
        </w:rPr>
        <w:t>Dichiara</w:t>
      </w:r>
    </w:p>
    <w:p w:rsidR="00AE45E0" w:rsidRPr="00865DAE" w:rsidRDefault="000563E9" w:rsidP="00AE45E0">
      <w:pPr>
        <w:spacing w:after="60" w:line="240" w:lineRule="auto"/>
        <w:jc w:val="both"/>
        <w:rPr>
          <w:rFonts w:ascii="Source Sans Pro" w:hAnsi="Source Sans Pro"/>
        </w:rPr>
      </w:pPr>
      <w:r w:rsidRPr="00865DAE">
        <w:rPr>
          <w:rFonts w:ascii="Source Sans Pro" w:hAnsi="Source Sans Pro"/>
        </w:rPr>
        <w:t>di non essere allo stato attuale in nessuna delle situazioni che comporti l’obbligo di astensione dalla partecipazione alla Commissione:</w:t>
      </w:r>
    </w:p>
    <w:p w:rsidR="00AE45E0" w:rsidRPr="00865DAE" w:rsidRDefault="00AE45E0" w:rsidP="00AE45E0">
      <w:pPr>
        <w:spacing w:after="60" w:line="240" w:lineRule="auto"/>
        <w:jc w:val="both"/>
        <w:rPr>
          <w:rFonts w:ascii="Source Sans Pro" w:hAnsi="Source Sans Pro"/>
        </w:rPr>
      </w:pPr>
      <w:r w:rsidRPr="00865DAE">
        <w:rPr>
          <w:rFonts w:ascii="Source Sans Pro" w:hAnsi="Source Sans Pro"/>
        </w:rPr>
        <w:t>- di non essere componente dell’organo di direzione politica dell’amministrazione, di non ricoprire cariche politiche, di non essere rappresentante sindacale o designato</w:t>
      </w:r>
      <w:r w:rsidR="009D497E" w:rsidRPr="00865DAE">
        <w:rPr>
          <w:rFonts w:ascii="Source Sans Pro" w:hAnsi="Source Sans Pro"/>
        </w:rPr>
        <w:t>/a</w:t>
      </w:r>
      <w:r w:rsidRPr="00865DAE">
        <w:rPr>
          <w:rFonts w:ascii="Source Sans Pro" w:hAnsi="Source Sans Pro"/>
        </w:rPr>
        <w:t xml:space="preserve"> da confederazioni ed organizzazioni sindacali o da associazioni professionali (art. 35, comma 3, del D.lgs. 165/2001</w:t>
      </w:r>
      <w:r w:rsidRPr="00865DAE">
        <w:rPr>
          <w:rFonts w:ascii="Source Sans Pro" w:hAnsi="Source Sans Pro"/>
          <w:vertAlign w:val="superscript"/>
        </w:rPr>
        <w:t>3</w:t>
      </w:r>
      <w:r w:rsidR="00413E0C" w:rsidRPr="00865DAE">
        <w:rPr>
          <w:rFonts w:ascii="Source Sans Pro" w:hAnsi="Source Sans Pro"/>
          <w:vertAlign w:val="superscript"/>
        </w:rPr>
        <w:t>)</w:t>
      </w:r>
      <w:r w:rsidRPr="00865DAE">
        <w:rPr>
          <w:rFonts w:ascii="Source Sans Pro" w:hAnsi="Source Sans Pro"/>
        </w:rPr>
        <w:t>;</w:t>
      </w:r>
    </w:p>
    <w:p w:rsidR="00AE45E0" w:rsidRPr="00865DAE" w:rsidRDefault="00AE45E0" w:rsidP="00AE45E0">
      <w:pPr>
        <w:spacing w:after="60" w:line="240" w:lineRule="auto"/>
        <w:jc w:val="both"/>
        <w:rPr>
          <w:rFonts w:ascii="Source Sans Pro" w:hAnsi="Source Sans Pro"/>
        </w:rPr>
      </w:pPr>
      <w:r w:rsidRPr="00865DAE">
        <w:rPr>
          <w:rFonts w:ascii="Source Sans Pro" w:hAnsi="Source Sans Pro" w:cs="Calibri"/>
        </w:rPr>
        <w:t>- di non aver riportato sanzioni disciplinari, nei cinque anni precedenti, o condanne penali per reati commessi nell'esercizio delle funzioni o in occasione delle stesse (art. 35bis del D.</w:t>
      </w:r>
      <w:r w:rsidR="003F70DF" w:rsidRPr="00865DAE">
        <w:rPr>
          <w:rFonts w:ascii="Source Sans Pro" w:hAnsi="Source Sans Pro" w:cs="Calibri"/>
        </w:rPr>
        <w:t>l</w:t>
      </w:r>
      <w:r w:rsidRPr="00865DAE">
        <w:rPr>
          <w:rFonts w:ascii="Source Sans Pro" w:hAnsi="Source Sans Pro" w:cs="Calibri"/>
        </w:rPr>
        <w:t>gs. 165/2001</w:t>
      </w:r>
      <w:r w:rsidRPr="00865DAE">
        <w:rPr>
          <w:rFonts w:ascii="Source Sans Pro" w:hAnsi="Source Sans Pro" w:cs="Calibri"/>
          <w:vertAlign w:val="superscript"/>
        </w:rPr>
        <w:t>4</w:t>
      </w:r>
      <w:r w:rsidRPr="00865DAE">
        <w:rPr>
          <w:rFonts w:ascii="Source Sans Pro" w:hAnsi="Source Sans Pro" w:cs="Calibri"/>
        </w:rPr>
        <w:t>);</w:t>
      </w:r>
    </w:p>
    <w:p w:rsidR="00042375" w:rsidRPr="00865DAE" w:rsidRDefault="00AE45E0" w:rsidP="003D08DC">
      <w:pPr>
        <w:autoSpaceDE w:val="0"/>
        <w:autoSpaceDN w:val="0"/>
        <w:adjustRightInd w:val="0"/>
        <w:spacing w:after="160"/>
        <w:jc w:val="both"/>
        <w:rPr>
          <w:rFonts w:ascii="Source Sans Pro" w:hAnsi="Source Sans Pro"/>
        </w:rPr>
      </w:pPr>
      <w:r w:rsidRPr="00865DAE">
        <w:rPr>
          <w:rFonts w:ascii="Source Sans Pro" w:hAnsi="Source Sans Pro"/>
        </w:rPr>
        <w:t>- di non essere stato</w:t>
      </w:r>
      <w:r w:rsidR="009D497E" w:rsidRPr="00865DAE">
        <w:rPr>
          <w:rFonts w:ascii="Source Sans Pro" w:hAnsi="Source Sans Pro"/>
        </w:rPr>
        <w:t>/a</w:t>
      </w:r>
      <w:r w:rsidRPr="00865DAE">
        <w:rPr>
          <w:rFonts w:ascii="Source Sans Pro" w:hAnsi="Source Sans Pro"/>
        </w:rPr>
        <w:t xml:space="preserve"> condannato</w:t>
      </w:r>
      <w:r w:rsidR="009D497E" w:rsidRPr="00865DAE">
        <w:rPr>
          <w:rFonts w:ascii="Source Sans Pro" w:hAnsi="Source Sans Pro"/>
        </w:rPr>
        <w:t>/a</w:t>
      </w:r>
      <w:r w:rsidRPr="00865DAE">
        <w:rPr>
          <w:rFonts w:ascii="Source Sans Pro" w:hAnsi="Source Sans Pro"/>
        </w:rPr>
        <w:t>, neppure con sentenza non passata in giudicato, per i reati contro la Pubblica Amministrazione previsti nel Titolo II, Capo I, del Codice penale</w:t>
      </w:r>
      <w:r w:rsidRPr="00865DAE">
        <w:rPr>
          <w:rFonts w:ascii="Source Sans Pro" w:hAnsi="Source Sans Pro"/>
          <w:vertAlign w:val="superscript"/>
        </w:rPr>
        <w:t>5</w:t>
      </w:r>
      <w:r w:rsidRPr="00865DAE">
        <w:rPr>
          <w:rFonts w:ascii="Source Sans Pro" w:hAnsi="Source Sans Pro"/>
        </w:rPr>
        <w:t xml:space="preserve"> (art. 35bis del D.lgs. 165/2001);</w:t>
      </w:r>
    </w:p>
    <w:p w:rsidR="003D08DC" w:rsidRPr="00865DAE" w:rsidRDefault="004F65DB" w:rsidP="004F65DB">
      <w:pPr>
        <w:autoSpaceDE w:val="0"/>
        <w:autoSpaceDN w:val="0"/>
        <w:adjustRightInd w:val="0"/>
        <w:spacing w:after="0"/>
        <w:jc w:val="both"/>
        <w:rPr>
          <w:rFonts w:ascii="Source Sans Pro" w:hAnsi="Source Sans Pro" w:cs="Calibri"/>
        </w:rPr>
      </w:pPr>
      <w:r w:rsidRPr="00865DAE">
        <w:rPr>
          <w:rFonts w:ascii="Source Sans Pro" w:hAnsi="Source Sans Pro" w:cs="Calibri"/>
        </w:rPr>
        <w:t>• A</w:t>
      </w:r>
      <w:r w:rsidR="003D08DC" w:rsidRPr="00865DAE">
        <w:rPr>
          <w:rFonts w:ascii="Source Sans Pro" w:hAnsi="Source Sans Pro" w:cs="Calibri"/>
        </w:rPr>
        <w:t>utorizza il caricamento del documento di identità sulla piattaforma PICA ai fini della procedura concorsuale, nella sezione riservata alla commissione.</w:t>
      </w:r>
      <w:r w:rsidRPr="00865DAE">
        <w:rPr>
          <w:rFonts w:ascii="Source Sans Pro" w:hAnsi="Source Sans Pro" w:cs="Calibri"/>
        </w:rPr>
        <w:t xml:space="preserve"> S</w:t>
      </w:r>
      <w:r w:rsidR="003D08DC" w:rsidRPr="00865DAE">
        <w:rPr>
          <w:rFonts w:ascii="Source Sans Pro" w:hAnsi="Source Sans Pro" w:cs="Calibri"/>
        </w:rPr>
        <w:t>i impegna, in caso di sostituzione/scadenza della validità del medesimo, ad inviare un nuovo documento in sostituzione di quello non più in corso di validità.</w:t>
      </w:r>
    </w:p>
    <w:p w:rsidR="00171EA8" w:rsidRPr="00865DAE" w:rsidRDefault="00171EA8" w:rsidP="00C97353">
      <w:pPr>
        <w:autoSpaceDE w:val="0"/>
        <w:autoSpaceDN w:val="0"/>
        <w:adjustRightInd w:val="0"/>
        <w:spacing w:after="0" w:line="240" w:lineRule="auto"/>
        <w:rPr>
          <w:rFonts w:ascii="Source Sans Pro" w:hAnsi="Source Sans Pro" w:cs="Calibri"/>
          <w:sz w:val="21"/>
          <w:szCs w:val="21"/>
        </w:rPr>
      </w:pPr>
    </w:p>
    <w:p w:rsidR="00C97353" w:rsidRPr="00865DAE" w:rsidRDefault="003F4B40" w:rsidP="00C97353">
      <w:pPr>
        <w:autoSpaceDE w:val="0"/>
        <w:autoSpaceDN w:val="0"/>
        <w:adjustRightInd w:val="0"/>
        <w:spacing w:after="0" w:line="240" w:lineRule="auto"/>
        <w:rPr>
          <w:rFonts w:ascii="Source Sans Pro" w:hAnsi="Source Sans Pro" w:cs="Calibri"/>
          <w:sz w:val="21"/>
          <w:szCs w:val="21"/>
        </w:rPr>
      </w:pPr>
      <w:r w:rsidRPr="00865DAE">
        <w:rPr>
          <w:rFonts w:ascii="Source Sans Pro" w:hAnsi="Source Sans Pro" w:cs="Calibri"/>
          <w:sz w:val="21"/>
          <w:szCs w:val="21"/>
        </w:rPr>
        <w:t>Il/</w:t>
      </w:r>
      <w:r w:rsidR="00C97353" w:rsidRPr="00865DAE">
        <w:rPr>
          <w:rFonts w:ascii="Source Sans Pro" w:hAnsi="Source Sans Pro" w:cs="Calibri"/>
          <w:sz w:val="21"/>
          <w:szCs w:val="21"/>
        </w:rPr>
        <w:t>La</w:t>
      </w:r>
      <w:r w:rsidRPr="00865DAE">
        <w:rPr>
          <w:rFonts w:ascii="Source Sans Pro" w:hAnsi="Source Sans Pro" w:cs="Calibri"/>
          <w:sz w:val="21"/>
          <w:szCs w:val="21"/>
        </w:rPr>
        <w:t xml:space="preserve"> </w:t>
      </w:r>
      <w:proofErr w:type="spellStart"/>
      <w:r w:rsidR="00C97353" w:rsidRPr="00865DAE">
        <w:rPr>
          <w:rFonts w:ascii="Source Sans Pro" w:hAnsi="Source Sans Pro" w:cs="Calibri"/>
          <w:sz w:val="21"/>
          <w:szCs w:val="21"/>
        </w:rPr>
        <w:t>sottoscritt</w:t>
      </w:r>
      <w:proofErr w:type="spellEnd"/>
      <w:r w:rsidR="00042375" w:rsidRPr="00865DAE">
        <w:rPr>
          <w:rFonts w:ascii="Source Sans Pro" w:hAnsi="Source Sans Pro" w:cs="Calibri"/>
          <w:sz w:val="21"/>
          <w:szCs w:val="21"/>
        </w:rPr>
        <w:t>__</w:t>
      </w:r>
      <w:r w:rsidRPr="00865DAE">
        <w:rPr>
          <w:rFonts w:ascii="Source Sans Pro" w:hAnsi="Source Sans Pro" w:cs="Calibri"/>
          <w:sz w:val="21"/>
          <w:szCs w:val="21"/>
        </w:rPr>
        <w:t xml:space="preserve"> </w:t>
      </w:r>
      <w:r w:rsidR="00C97353" w:rsidRPr="00865DAE">
        <w:rPr>
          <w:rFonts w:ascii="Source Sans Pro" w:hAnsi="Source Sans Pro" w:cs="Calibri"/>
          <w:sz w:val="21"/>
          <w:szCs w:val="21"/>
        </w:rPr>
        <w:t>allega</w:t>
      </w:r>
      <w:r w:rsidRPr="00865DAE">
        <w:rPr>
          <w:rFonts w:ascii="Source Sans Pro" w:hAnsi="Source Sans Pro" w:cs="Calibri"/>
          <w:sz w:val="21"/>
          <w:szCs w:val="21"/>
        </w:rPr>
        <w:t xml:space="preserve"> </w:t>
      </w:r>
      <w:r w:rsidR="00C97353" w:rsidRPr="00865DAE">
        <w:rPr>
          <w:rFonts w:ascii="Source Sans Pro" w:hAnsi="Source Sans Pro" w:cs="Calibri"/>
          <w:sz w:val="21"/>
          <w:szCs w:val="21"/>
        </w:rPr>
        <w:t>copia</w:t>
      </w:r>
      <w:r w:rsidRPr="00865DAE">
        <w:rPr>
          <w:rFonts w:ascii="Source Sans Pro" w:hAnsi="Source Sans Pro" w:cs="Calibri"/>
          <w:sz w:val="21"/>
          <w:szCs w:val="21"/>
        </w:rPr>
        <w:t xml:space="preserve"> </w:t>
      </w:r>
      <w:r w:rsidR="00C97353" w:rsidRPr="00865DAE">
        <w:rPr>
          <w:rFonts w:ascii="Source Sans Pro" w:hAnsi="Source Sans Pro" w:cs="Calibri"/>
          <w:sz w:val="21"/>
          <w:szCs w:val="21"/>
        </w:rPr>
        <w:t>di</w:t>
      </w:r>
      <w:r w:rsidRPr="00865DAE">
        <w:rPr>
          <w:rFonts w:ascii="Source Sans Pro" w:hAnsi="Source Sans Pro" w:cs="Calibri"/>
          <w:sz w:val="21"/>
          <w:szCs w:val="21"/>
        </w:rPr>
        <w:t xml:space="preserve"> </w:t>
      </w:r>
      <w:r w:rsidR="00C97353" w:rsidRPr="00865DAE">
        <w:rPr>
          <w:rFonts w:ascii="Source Sans Pro" w:hAnsi="Source Sans Pro" w:cs="Calibri"/>
          <w:sz w:val="21"/>
          <w:szCs w:val="21"/>
        </w:rPr>
        <w:t>un</w:t>
      </w:r>
      <w:r w:rsidRPr="00865DAE">
        <w:rPr>
          <w:rFonts w:ascii="Source Sans Pro" w:hAnsi="Source Sans Pro" w:cs="Calibri"/>
          <w:sz w:val="21"/>
          <w:szCs w:val="21"/>
        </w:rPr>
        <w:t xml:space="preserve"> </w:t>
      </w:r>
      <w:r w:rsidR="00C97353" w:rsidRPr="00865DAE">
        <w:rPr>
          <w:rFonts w:ascii="Source Sans Pro" w:hAnsi="Source Sans Pro" w:cs="Calibri"/>
          <w:sz w:val="21"/>
          <w:szCs w:val="21"/>
        </w:rPr>
        <w:t>documento</w:t>
      </w:r>
      <w:r w:rsidRPr="00865DAE">
        <w:rPr>
          <w:rFonts w:ascii="Source Sans Pro" w:hAnsi="Source Sans Pro" w:cs="Calibri"/>
          <w:sz w:val="21"/>
          <w:szCs w:val="21"/>
        </w:rPr>
        <w:t xml:space="preserve"> </w:t>
      </w:r>
      <w:r w:rsidR="00C97353" w:rsidRPr="00865DAE">
        <w:rPr>
          <w:rFonts w:ascii="Source Sans Pro" w:hAnsi="Source Sans Pro" w:cs="Calibri"/>
          <w:sz w:val="21"/>
          <w:szCs w:val="21"/>
        </w:rPr>
        <w:t>di</w:t>
      </w:r>
      <w:r w:rsidRPr="00865DAE">
        <w:rPr>
          <w:rFonts w:ascii="Source Sans Pro" w:hAnsi="Source Sans Pro" w:cs="Calibri"/>
          <w:sz w:val="21"/>
          <w:szCs w:val="21"/>
        </w:rPr>
        <w:t xml:space="preserve"> </w:t>
      </w:r>
      <w:r w:rsidR="00C97353" w:rsidRPr="00865DAE">
        <w:rPr>
          <w:rFonts w:ascii="Source Sans Pro" w:hAnsi="Source Sans Pro" w:cs="Calibri"/>
          <w:sz w:val="21"/>
          <w:szCs w:val="21"/>
        </w:rPr>
        <w:t>identità.</w:t>
      </w:r>
    </w:p>
    <w:p w:rsidR="00042375" w:rsidRPr="00865DAE" w:rsidRDefault="00042375" w:rsidP="00C97353">
      <w:pPr>
        <w:autoSpaceDE w:val="0"/>
        <w:autoSpaceDN w:val="0"/>
        <w:adjustRightInd w:val="0"/>
        <w:spacing w:after="0" w:line="240" w:lineRule="auto"/>
        <w:rPr>
          <w:rFonts w:ascii="Source Sans Pro" w:hAnsi="Source Sans Pro" w:cs="Calibri"/>
          <w:sz w:val="21"/>
          <w:szCs w:val="21"/>
        </w:rPr>
      </w:pPr>
    </w:p>
    <w:p w:rsidR="003D08DC" w:rsidRPr="00865DAE" w:rsidRDefault="00C97353" w:rsidP="004F65DB">
      <w:pPr>
        <w:autoSpaceDE w:val="0"/>
        <w:autoSpaceDN w:val="0"/>
        <w:adjustRightInd w:val="0"/>
        <w:spacing w:after="0" w:line="240" w:lineRule="auto"/>
        <w:rPr>
          <w:rFonts w:ascii="Source Sans Pro" w:hAnsi="Source Sans Pro" w:cs="Calibri"/>
          <w:sz w:val="21"/>
          <w:szCs w:val="21"/>
        </w:rPr>
      </w:pPr>
      <w:r w:rsidRPr="00865DAE">
        <w:rPr>
          <w:rFonts w:ascii="Source Sans Pro" w:hAnsi="Source Sans Pro" w:cs="Calibri"/>
          <w:sz w:val="21"/>
          <w:szCs w:val="21"/>
        </w:rPr>
        <w:t>Luogo</w:t>
      </w:r>
      <w:r w:rsidR="003F4B40" w:rsidRPr="00865DAE">
        <w:rPr>
          <w:rFonts w:ascii="Source Sans Pro" w:hAnsi="Source Sans Pro" w:cs="Calibri"/>
          <w:sz w:val="21"/>
          <w:szCs w:val="21"/>
        </w:rPr>
        <w:t xml:space="preserve"> </w:t>
      </w:r>
      <w:r w:rsidRPr="00865DAE">
        <w:rPr>
          <w:rFonts w:ascii="Source Sans Pro" w:hAnsi="Source Sans Pro" w:cs="Calibri"/>
          <w:sz w:val="21"/>
          <w:szCs w:val="21"/>
        </w:rPr>
        <w:t>e</w:t>
      </w:r>
      <w:r w:rsidR="003F4B40" w:rsidRPr="00865DAE">
        <w:rPr>
          <w:rFonts w:ascii="Source Sans Pro" w:hAnsi="Source Sans Pro" w:cs="Calibri"/>
          <w:sz w:val="21"/>
          <w:szCs w:val="21"/>
        </w:rPr>
        <w:t xml:space="preserve"> </w:t>
      </w:r>
      <w:r w:rsidRPr="00865DAE">
        <w:rPr>
          <w:rFonts w:ascii="Source Sans Pro" w:hAnsi="Source Sans Pro" w:cs="Calibri"/>
          <w:sz w:val="21"/>
          <w:szCs w:val="21"/>
        </w:rPr>
        <w:t>data</w:t>
      </w:r>
      <w:r w:rsidR="00042375" w:rsidRPr="00865DAE">
        <w:rPr>
          <w:rFonts w:ascii="Source Sans Pro" w:hAnsi="Source Sans Pro" w:cs="Calibri"/>
          <w:sz w:val="21"/>
          <w:szCs w:val="21"/>
        </w:rPr>
        <w:t xml:space="preserve"> ____________________</w:t>
      </w:r>
    </w:p>
    <w:p w:rsidR="008808A8" w:rsidRPr="00865DAE" w:rsidRDefault="00C97353" w:rsidP="00042375">
      <w:pPr>
        <w:jc w:val="right"/>
        <w:rPr>
          <w:rFonts w:ascii="Source Sans Pro" w:hAnsi="Source Sans Pro" w:cs="Calibri"/>
          <w:sz w:val="21"/>
          <w:szCs w:val="21"/>
        </w:rPr>
      </w:pPr>
      <w:r w:rsidRPr="00865DAE">
        <w:rPr>
          <w:rFonts w:ascii="Source Sans Pro" w:hAnsi="Source Sans Pro" w:cs="Calibri"/>
          <w:sz w:val="21"/>
          <w:szCs w:val="21"/>
        </w:rPr>
        <w:t>Firma</w:t>
      </w:r>
      <w:r w:rsidR="00042375" w:rsidRPr="00865DAE">
        <w:rPr>
          <w:rFonts w:ascii="Source Sans Pro" w:hAnsi="Source Sans Pro" w:cs="Calibri"/>
          <w:sz w:val="21"/>
          <w:szCs w:val="21"/>
        </w:rPr>
        <w:t xml:space="preserve"> _________________________________</w:t>
      </w:r>
    </w:p>
    <w:p w:rsidR="003D08DC" w:rsidRPr="00865DAE" w:rsidRDefault="003D08DC" w:rsidP="003E7C27">
      <w:pPr>
        <w:spacing w:after="0"/>
        <w:jc w:val="both"/>
        <w:rPr>
          <w:rFonts w:ascii="Source Sans Pro" w:hAnsi="Source Sans Pro" w:cs="Calibri"/>
          <w:b/>
          <w:sz w:val="20"/>
          <w:szCs w:val="20"/>
        </w:rPr>
      </w:pPr>
    </w:p>
    <w:p w:rsidR="00042375" w:rsidRPr="00865DAE" w:rsidRDefault="00042375" w:rsidP="003E7C27">
      <w:pPr>
        <w:spacing w:after="0"/>
        <w:jc w:val="both"/>
        <w:rPr>
          <w:rFonts w:ascii="Source Sans Pro" w:hAnsi="Source Sans Pro" w:cs="Calibri"/>
          <w:b/>
          <w:sz w:val="20"/>
          <w:szCs w:val="20"/>
        </w:rPr>
      </w:pPr>
      <w:r w:rsidRPr="00865DAE">
        <w:rPr>
          <w:rFonts w:ascii="Source Sans Pro" w:hAnsi="Source Sans Pro" w:cs="Calibri"/>
          <w:b/>
          <w:sz w:val="20"/>
          <w:szCs w:val="20"/>
        </w:rPr>
        <w:t>TRATTAMENTO DEI DATI PERSONALI</w:t>
      </w:r>
    </w:p>
    <w:p w:rsidR="003E7C27" w:rsidRPr="00865DAE" w:rsidRDefault="00042375" w:rsidP="004F65DB">
      <w:pPr>
        <w:spacing w:after="0"/>
        <w:jc w:val="both"/>
        <w:rPr>
          <w:rFonts w:ascii="Source Sans Pro" w:hAnsi="Source Sans Pro" w:cs="Calibri"/>
          <w:sz w:val="20"/>
          <w:szCs w:val="20"/>
        </w:rPr>
      </w:pPr>
      <w:r w:rsidRPr="00865DAE">
        <w:rPr>
          <w:rFonts w:ascii="Source Sans Pro" w:hAnsi="Source Sans Pro" w:cs="Calibri"/>
          <w:sz w:val="20"/>
          <w:szCs w:val="20"/>
        </w:rPr>
        <w:t xml:space="preserve">I suoi dati saranno trattati esclusivamente per le finalità imposte alle Pubbliche Amministrazioni dall’art. 35 bis del </w:t>
      </w:r>
      <w:proofErr w:type="spellStart"/>
      <w:r w:rsidR="00413E0C" w:rsidRPr="00865DAE">
        <w:rPr>
          <w:rFonts w:ascii="Source Sans Pro" w:hAnsi="Source Sans Pro" w:cs="Calibri"/>
          <w:sz w:val="20"/>
          <w:szCs w:val="20"/>
        </w:rPr>
        <w:t>d</w:t>
      </w:r>
      <w:r w:rsidRPr="00865DAE">
        <w:rPr>
          <w:rFonts w:ascii="Source Sans Pro" w:hAnsi="Source Sans Pro" w:cs="Calibri"/>
          <w:sz w:val="20"/>
          <w:szCs w:val="20"/>
        </w:rPr>
        <w:t>.lgs</w:t>
      </w:r>
      <w:proofErr w:type="spellEnd"/>
      <w:r w:rsidRPr="00865DAE">
        <w:rPr>
          <w:rFonts w:ascii="Source Sans Pro" w:hAnsi="Source Sans Pro" w:cs="Calibri"/>
          <w:sz w:val="20"/>
          <w:szCs w:val="20"/>
        </w:rPr>
        <w:t xml:space="preserve"> 165/2001, attraverso modalità cartacee ed informatiche e nel massimo rispetto del Regolamento UE 2016/679 ed in particolare dei principi dell’art. 5;</w:t>
      </w:r>
      <w:r w:rsidR="003F70DF" w:rsidRPr="00865DAE">
        <w:rPr>
          <w:rFonts w:ascii="Source Sans Pro" w:hAnsi="Source Sans Pro" w:cs="Calibri"/>
          <w:sz w:val="20"/>
          <w:szCs w:val="20"/>
        </w:rPr>
        <w:t xml:space="preserve"> </w:t>
      </w:r>
      <w:r w:rsidRPr="00865DAE">
        <w:rPr>
          <w:rFonts w:ascii="Source Sans Pro" w:hAnsi="Source Sans Pro" w:cs="Calibri"/>
          <w:sz w:val="20"/>
          <w:szCs w:val="20"/>
        </w:rPr>
        <w:t xml:space="preserve">Il Titolare del trattamento è l’Università degli Studi di Siena, rappresentata </w:t>
      </w:r>
      <w:r w:rsidRPr="00865DAE">
        <w:rPr>
          <w:rFonts w:ascii="Source Sans Pro" w:hAnsi="Source Sans Pro" w:cs="Calibri"/>
          <w:sz w:val="20"/>
          <w:szCs w:val="20"/>
        </w:rPr>
        <w:lastRenderedPageBreak/>
        <w:t xml:space="preserve">legalmente del Rettore. L’informativa di dettaglio è pubblicata nel portale di Ateneo </w:t>
      </w:r>
      <w:r w:rsidR="003E7C27" w:rsidRPr="00865DAE">
        <w:rPr>
          <w:rFonts w:ascii="Source Sans Pro" w:hAnsi="Source Sans Pro" w:cs="Calibri"/>
          <w:sz w:val="20"/>
          <w:szCs w:val="20"/>
        </w:rPr>
        <w:t xml:space="preserve">sez. Privacy </w:t>
      </w:r>
      <w:r w:rsidRPr="00865DAE">
        <w:rPr>
          <w:rFonts w:ascii="Source Sans Pro" w:hAnsi="Source Sans Pro" w:cs="Calibri"/>
          <w:sz w:val="20"/>
          <w:szCs w:val="20"/>
        </w:rPr>
        <w:t xml:space="preserve"> </w:t>
      </w:r>
      <w:hyperlink r:id="rId7" w:history="1">
        <w:r w:rsidR="003E7C27" w:rsidRPr="00865DAE">
          <w:rPr>
            <w:rStyle w:val="Collegamentoipertestuale"/>
            <w:rFonts w:ascii="Source Sans Pro" w:hAnsi="Source Sans Pro" w:cs="Calibri"/>
            <w:sz w:val="18"/>
            <w:szCs w:val="18"/>
          </w:rPr>
          <w:t>https://www.unisi.it/ateneo/adempimenti/privacy</w:t>
        </w:r>
      </w:hyperlink>
    </w:p>
    <w:sectPr w:rsidR="003E7C27" w:rsidRPr="00865DAE">
      <w:headerReference w:type="default" r:id="rId8"/>
      <w:endnotePr>
        <w:numFmt w:val="decimal"/>
      </w:end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375" w:rsidRDefault="00042375" w:rsidP="00042375">
      <w:pPr>
        <w:spacing w:after="0" w:line="240" w:lineRule="auto"/>
      </w:pPr>
      <w:r>
        <w:separator/>
      </w:r>
    </w:p>
  </w:endnote>
  <w:endnote w:type="continuationSeparator" w:id="0">
    <w:p w:rsidR="00042375" w:rsidRDefault="00042375" w:rsidP="00042375">
      <w:pPr>
        <w:spacing w:after="0" w:line="240" w:lineRule="auto"/>
      </w:pPr>
      <w:r>
        <w:continuationSeparator/>
      </w:r>
    </w:p>
  </w:endnote>
  <w:endnote w:id="1">
    <w:p w:rsidR="004F65DB" w:rsidRPr="004F65DB" w:rsidRDefault="004F65DB" w:rsidP="004F65DB">
      <w:pPr>
        <w:pStyle w:val="Testonotadichiusura"/>
        <w:jc w:val="both"/>
        <w:rPr>
          <w:rFonts w:asciiTheme="minorHAnsi" w:eastAsiaTheme="minorHAnsi" w:hAnsiTheme="minorHAnsi" w:cstheme="minorBidi"/>
          <w:sz w:val="18"/>
          <w:szCs w:val="18"/>
          <w:u w:val="single"/>
          <w:lang w:eastAsia="en-US"/>
        </w:rPr>
      </w:pPr>
      <w:r w:rsidRPr="004F65DB">
        <w:rPr>
          <w:rStyle w:val="Rimandonotadichiusura"/>
          <w:rFonts w:asciiTheme="minorHAnsi" w:hAnsiTheme="minorHAnsi"/>
          <w:b/>
          <w:sz w:val="18"/>
          <w:szCs w:val="18"/>
        </w:rPr>
        <w:endnoteRef/>
      </w:r>
      <w:r w:rsidRPr="004F65DB">
        <w:rPr>
          <w:rFonts w:asciiTheme="minorHAnsi" w:hAnsiTheme="minorHAnsi"/>
          <w:sz w:val="18"/>
          <w:szCs w:val="18"/>
        </w:rPr>
        <w:t xml:space="preserve"> </w:t>
      </w:r>
      <w:r w:rsidRPr="004F65DB">
        <w:rPr>
          <w:rFonts w:asciiTheme="minorHAnsi" w:eastAsiaTheme="minorHAnsi" w:hAnsiTheme="minorHAnsi" w:cstheme="minorBidi"/>
          <w:b/>
          <w:sz w:val="18"/>
          <w:szCs w:val="18"/>
          <w:lang w:eastAsia="en-US"/>
        </w:rPr>
        <w:t>Art. 75 DPR 445-2000 (Norme penali)</w:t>
      </w:r>
      <w:r w:rsidRPr="004F65DB">
        <w:rPr>
          <w:rFonts w:asciiTheme="minorHAnsi" w:eastAsiaTheme="minorHAnsi" w:hAnsiTheme="minorHAnsi" w:cstheme="minorBidi"/>
          <w:sz w:val="18"/>
          <w:szCs w:val="18"/>
          <w:u w:val="single"/>
          <w:lang w:eastAsia="en-US"/>
        </w:rPr>
        <w:t xml:space="preserve"> </w:t>
      </w:r>
    </w:p>
    <w:p w:rsidR="004F65DB" w:rsidRPr="004F65DB" w:rsidRDefault="004F65DB" w:rsidP="004F65DB">
      <w:pPr>
        <w:pStyle w:val="Testonotadichiusura"/>
        <w:jc w:val="both"/>
        <w:rPr>
          <w:rFonts w:asciiTheme="minorHAnsi" w:hAnsiTheme="minorHAnsi"/>
          <w:i/>
          <w:sz w:val="18"/>
          <w:szCs w:val="18"/>
        </w:rPr>
      </w:pPr>
      <w:r w:rsidRPr="004F65DB">
        <w:rPr>
          <w:rFonts w:asciiTheme="minorHAnsi" w:hAnsiTheme="minorHAnsi"/>
          <w:i/>
          <w:sz w:val="18"/>
          <w:szCs w:val="18"/>
        </w:rPr>
        <w:t xml:space="preserve">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w:t>
      </w:r>
    </w:p>
    <w:p w:rsidR="004F65DB" w:rsidRPr="004F65DB" w:rsidRDefault="004F65DB" w:rsidP="004F65DB">
      <w:pPr>
        <w:pStyle w:val="Testonotadichiusura"/>
        <w:jc w:val="both"/>
        <w:rPr>
          <w:rFonts w:asciiTheme="minorHAnsi" w:hAnsiTheme="minorHAnsi"/>
          <w:i/>
          <w:sz w:val="18"/>
          <w:szCs w:val="18"/>
        </w:rPr>
      </w:pPr>
      <w:r w:rsidRPr="004F65DB">
        <w:rPr>
          <w:rFonts w:asciiTheme="minorHAnsi" w:hAnsiTheme="minorHAnsi"/>
          <w:i/>
          <w:sz w:val="18"/>
          <w:szCs w:val="18"/>
        </w:rPr>
        <w:t>1-bis. La dichiarazione mendace comporta, altresì, la revoca degli eventuali benefici già erogati nonchè il divieto di accesso a contributi, finanziamenti e agevolazioni per un periodo di 2 anni decorrenti da quando l'amministrazione ha adottato l'atto di</w:t>
      </w:r>
    </w:p>
    <w:p w:rsidR="004F65DB" w:rsidRDefault="004F65DB" w:rsidP="004F65DB">
      <w:pPr>
        <w:pStyle w:val="Testonotadichiusura"/>
        <w:jc w:val="both"/>
        <w:rPr>
          <w:rFonts w:asciiTheme="minorHAnsi" w:hAnsiTheme="minorHAnsi"/>
          <w:i/>
          <w:sz w:val="18"/>
          <w:szCs w:val="18"/>
        </w:rPr>
      </w:pPr>
      <w:r w:rsidRPr="004F65DB">
        <w:rPr>
          <w:rFonts w:asciiTheme="minorHAnsi" w:hAnsiTheme="minorHAnsi"/>
          <w:i/>
          <w:sz w:val="18"/>
          <w:szCs w:val="18"/>
        </w:rPr>
        <w:t>decadenza. Restano comunque fermi gli interventi, anche economici, in favore dei minori e per le situazioni familiari e sociali di particolare disagio.</w:t>
      </w:r>
    </w:p>
    <w:p w:rsidR="004F65DB" w:rsidRPr="004F65DB" w:rsidRDefault="004F65DB" w:rsidP="004F65DB">
      <w:pPr>
        <w:pStyle w:val="Testonotadichiusura"/>
        <w:jc w:val="both"/>
        <w:rPr>
          <w:rFonts w:asciiTheme="minorHAnsi" w:eastAsiaTheme="minorHAnsi" w:hAnsiTheme="minorHAnsi" w:cstheme="minorBidi"/>
          <w:sz w:val="18"/>
          <w:szCs w:val="18"/>
          <w:u w:val="single"/>
          <w:lang w:eastAsia="en-US"/>
        </w:rPr>
      </w:pPr>
      <w:r>
        <w:rPr>
          <w:rStyle w:val="Rimandonotadichiusura"/>
          <w:rFonts w:asciiTheme="minorHAnsi" w:hAnsiTheme="minorHAnsi"/>
          <w:b/>
          <w:sz w:val="18"/>
          <w:szCs w:val="18"/>
        </w:rPr>
        <w:t>2</w:t>
      </w:r>
      <w:r w:rsidRPr="004F65DB">
        <w:rPr>
          <w:rFonts w:asciiTheme="minorHAnsi" w:hAnsiTheme="minorHAnsi"/>
          <w:sz w:val="18"/>
          <w:szCs w:val="18"/>
        </w:rPr>
        <w:t xml:space="preserve"> </w:t>
      </w:r>
      <w:r w:rsidRPr="004F65DB">
        <w:rPr>
          <w:rFonts w:asciiTheme="minorHAnsi" w:eastAsiaTheme="minorHAnsi" w:hAnsiTheme="minorHAnsi" w:cstheme="minorBidi"/>
          <w:b/>
          <w:sz w:val="18"/>
          <w:szCs w:val="18"/>
          <w:lang w:eastAsia="en-US"/>
        </w:rPr>
        <w:t>Art. 76 DPR 445-2000 (Norme penali</w:t>
      </w:r>
      <w:r w:rsidRPr="004F65DB">
        <w:rPr>
          <w:rFonts w:asciiTheme="minorHAnsi" w:eastAsiaTheme="minorHAnsi" w:hAnsiTheme="minorHAnsi" w:cstheme="minorBidi"/>
          <w:sz w:val="18"/>
          <w:szCs w:val="18"/>
          <w:u w:val="single"/>
          <w:lang w:eastAsia="en-US"/>
        </w:rPr>
        <w:t xml:space="preserve">) </w:t>
      </w:r>
    </w:p>
    <w:p w:rsidR="004F65DB" w:rsidRPr="004F65DB" w:rsidRDefault="004F65DB" w:rsidP="004F65DB">
      <w:pPr>
        <w:spacing w:after="0" w:line="240" w:lineRule="auto"/>
        <w:jc w:val="both"/>
        <w:rPr>
          <w:i/>
          <w:sz w:val="18"/>
          <w:szCs w:val="18"/>
        </w:rPr>
      </w:pPr>
      <w:r w:rsidRPr="004F65DB">
        <w:rPr>
          <w:i/>
          <w:sz w:val="18"/>
          <w:szCs w:val="18"/>
        </w:rPr>
        <w:t xml:space="preserve">1. Chiunque rilascia dichiarazioni mendaci, forma atti falsi o ne fa uso nei casi previsti dal presente testo unico è punito ai sensi del codice penale e delle leggi speciali in materia. La sanzione ordinariamente prevista dal codice penale è aumentata da un terzo alla metà.  </w:t>
      </w:r>
    </w:p>
    <w:p w:rsidR="004F65DB" w:rsidRPr="004F65DB" w:rsidRDefault="004F65DB" w:rsidP="004F65DB">
      <w:pPr>
        <w:spacing w:after="0" w:line="240" w:lineRule="auto"/>
        <w:jc w:val="both"/>
        <w:rPr>
          <w:i/>
          <w:sz w:val="18"/>
          <w:szCs w:val="18"/>
        </w:rPr>
      </w:pPr>
      <w:r w:rsidRPr="004F65DB">
        <w:rPr>
          <w:i/>
          <w:sz w:val="18"/>
          <w:szCs w:val="18"/>
        </w:rPr>
        <w:t xml:space="preserve">2. L'esibizione di un atto contenente dati non più rispondenti a verità equivale ad uso di atto falso. </w:t>
      </w:r>
    </w:p>
    <w:p w:rsidR="004F65DB" w:rsidRPr="004F65DB" w:rsidRDefault="004F65DB" w:rsidP="004F65DB">
      <w:pPr>
        <w:spacing w:after="0" w:line="240" w:lineRule="auto"/>
        <w:jc w:val="both"/>
        <w:rPr>
          <w:i/>
          <w:sz w:val="18"/>
          <w:szCs w:val="18"/>
        </w:rPr>
      </w:pPr>
      <w:r w:rsidRPr="004F65DB">
        <w:rPr>
          <w:i/>
          <w:sz w:val="18"/>
          <w:szCs w:val="18"/>
        </w:rPr>
        <w:t xml:space="preserve">3. Le dichiarazioni sostitutive rese ai sensi degli articoli 46 e 47 e le dichiarazioni rese per conto delle persone indicate nell'articolo 4, comma 2, sono considerate come fatte a pubblico ufficiale. </w:t>
      </w:r>
    </w:p>
    <w:p w:rsidR="00A61BB8" w:rsidRDefault="004F65DB" w:rsidP="004F65DB">
      <w:pPr>
        <w:spacing w:after="0" w:line="240" w:lineRule="auto"/>
        <w:jc w:val="both"/>
        <w:rPr>
          <w:i/>
          <w:sz w:val="18"/>
          <w:szCs w:val="18"/>
        </w:rPr>
      </w:pPr>
      <w:r w:rsidRPr="004F65DB">
        <w:rPr>
          <w:i/>
          <w:sz w:val="18"/>
          <w:szCs w:val="18"/>
        </w:rPr>
        <w:t xml:space="preserve">4.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rsidR="004F65DB" w:rsidRPr="004F65DB" w:rsidRDefault="004F65DB" w:rsidP="004F65DB">
      <w:pPr>
        <w:spacing w:after="0" w:line="240" w:lineRule="auto"/>
        <w:jc w:val="both"/>
        <w:rPr>
          <w:i/>
          <w:sz w:val="18"/>
          <w:szCs w:val="18"/>
        </w:rPr>
      </w:pPr>
      <w:r w:rsidRPr="004F65DB">
        <w:rPr>
          <w:i/>
          <w:sz w:val="18"/>
          <w:szCs w:val="18"/>
        </w:rPr>
        <w:t xml:space="preserve"> 4-bis. Le disposizioni del presente articolo si applicano anche alle attestazioni previste dall'articolo 840-septies, secondo comma, lettera g), del codice di procedura civile.</w:t>
      </w:r>
    </w:p>
    <w:p w:rsidR="004F65DB" w:rsidRPr="004F65DB" w:rsidRDefault="004F65DB" w:rsidP="004F65DB">
      <w:pPr>
        <w:spacing w:after="0" w:line="240" w:lineRule="auto"/>
        <w:jc w:val="both"/>
        <w:rPr>
          <w:sz w:val="18"/>
          <w:szCs w:val="18"/>
        </w:rPr>
      </w:pPr>
      <w:r w:rsidRPr="004F65DB">
        <w:rPr>
          <w:b/>
          <w:sz w:val="18"/>
          <w:szCs w:val="18"/>
          <w:vertAlign w:val="superscript"/>
        </w:rPr>
        <w:t>3</w:t>
      </w:r>
      <w:r w:rsidRPr="004F65DB">
        <w:rPr>
          <w:b/>
          <w:sz w:val="18"/>
          <w:szCs w:val="18"/>
        </w:rPr>
        <w:t xml:space="preserve"> Art. 35, comma 3, lett. e), D.lgs. 165/2001. Reclutamento del personale</w:t>
      </w:r>
    </w:p>
    <w:p w:rsidR="004F65DB" w:rsidRPr="004F65DB" w:rsidRDefault="004F65DB" w:rsidP="004F65DB">
      <w:pPr>
        <w:spacing w:after="0" w:line="240" w:lineRule="auto"/>
        <w:jc w:val="both"/>
        <w:rPr>
          <w:sz w:val="18"/>
          <w:szCs w:val="18"/>
        </w:rPr>
      </w:pPr>
      <w:r w:rsidRPr="004F65DB">
        <w:rPr>
          <w:sz w:val="18"/>
          <w:szCs w:val="18"/>
        </w:rPr>
        <w:t xml:space="preserve">Le Commissioni di concorso devono essere formate </w:t>
      </w:r>
      <w:r w:rsidRPr="004F65DB">
        <w:rPr>
          <w:i/>
          <w:sz w:val="18"/>
          <w:szCs w:val="18"/>
        </w:rPr>
        <w:t>esclusivamente con esperti di provata competenza nelle materie di concorso, scelti tra funzionari delle amministrazioni, docenti ed estranei alle medesime, che non siano componenti dell'organo di direzione politica dell'amministrazione, che non ricoprano cariche politiche e che non siano rappresentanti sindacali o designati dalle confederazioni ed organizzazioni sindacali o dalle associazioni professionali;</w:t>
      </w:r>
    </w:p>
    <w:p w:rsidR="004F65DB" w:rsidRPr="004F65DB" w:rsidRDefault="004F65DB" w:rsidP="004F65DB">
      <w:pPr>
        <w:spacing w:after="0" w:line="240" w:lineRule="auto"/>
        <w:jc w:val="both"/>
        <w:rPr>
          <w:b/>
          <w:bCs/>
          <w:sz w:val="18"/>
          <w:szCs w:val="18"/>
        </w:rPr>
      </w:pPr>
      <w:r w:rsidRPr="004F65DB">
        <w:rPr>
          <w:b/>
          <w:sz w:val="18"/>
          <w:szCs w:val="18"/>
          <w:vertAlign w:val="superscript"/>
        </w:rPr>
        <w:t>4</w:t>
      </w:r>
      <w:r w:rsidRPr="004F65DB">
        <w:rPr>
          <w:b/>
          <w:sz w:val="18"/>
          <w:szCs w:val="18"/>
        </w:rPr>
        <w:t xml:space="preserve"> Art. 35bis, D.lgs. 165/2001.</w:t>
      </w:r>
      <w:r w:rsidRPr="004F65DB">
        <w:rPr>
          <w:sz w:val="18"/>
          <w:szCs w:val="18"/>
        </w:rPr>
        <w:t xml:space="preserve"> </w:t>
      </w:r>
      <w:r w:rsidRPr="004F65DB">
        <w:rPr>
          <w:b/>
          <w:bCs/>
          <w:sz w:val="18"/>
          <w:szCs w:val="18"/>
        </w:rPr>
        <w:t>Prevenzione del fenomeno della corruzione nella formazione di commissioni e nelle assegnazioni agli uffici</w:t>
      </w:r>
    </w:p>
    <w:p w:rsidR="004F65DB" w:rsidRPr="004F65DB" w:rsidRDefault="004F65DB" w:rsidP="004F65DB">
      <w:pPr>
        <w:spacing w:after="0" w:line="240" w:lineRule="auto"/>
        <w:jc w:val="both"/>
        <w:rPr>
          <w:sz w:val="18"/>
          <w:szCs w:val="18"/>
        </w:rPr>
      </w:pPr>
      <w:r w:rsidRPr="004F65DB">
        <w:rPr>
          <w:i/>
          <w:sz w:val="18"/>
          <w:szCs w:val="18"/>
        </w:rPr>
        <w:t>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Pr="004F65DB">
        <w:rPr>
          <w:sz w:val="18"/>
          <w:szCs w:val="18"/>
        </w:rPr>
        <w:t>; […]</w:t>
      </w:r>
    </w:p>
    <w:p w:rsidR="004F65DB" w:rsidRPr="004F65DB" w:rsidRDefault="004F65DB" w:rsidP="004F65DB">
      <w:pPr>
        <w:spacing w:after="0" w:line="240" w:lineRule="auto"/>
        <w:jc w:val="both"/>
        <w:rPr>
          <w:b/>
          <w:sz w:val="18"/>
          <w:szCs w:val="18"/>
        </w:rPr>
      </w:pPr>
      <w:r w:rsidRPr="004F65DB">
        <w:rPr>
          <w:b/>
          <w:sz w:val="18"/>
          <w:szCs w:val="18"/>
          <w:vertAlign w:val="superscript"/>
        </w:rPr>
        <w:t>5</w:t>
      </w:r>
      <w:r w:rsidRPr="004F65DB">
        <w:rPr>
          <w:b/>
          <w:sz w:val="18"/>
          <w:szCs w:val="18"/>
        </w:rPr>
        <w:t xml:space="preserve"> Codice Penale, Titolo II, Capo I - D</w:t>
      </w:r>
      <w:bookmarkStart w:id="0" w:name="_GoBack"/>
      <w:bookmarkEnd w:id="0"/>
      <w:r w:rsidRPr="004F65DB">
        <w:rPr>
          <w:b/>
          <w:sz w:val="18"/>
          <w:szCs w:val="18"/>
        </w:rPr>
        <w:t>ei delitti dei pubblici ufficiali contro la pubblica amministrazione</w:t>
      </w:r>
    </w:p>
    <w:p w:rsidR="003E7C27" w:rsidRPr="003E7C27" w:rsidRDefault="004F65DB" w:rsidP="00900F75">
      <w:pPr>
        <w:pStyle w:val="Testonotadichiusura"/>
        <w:jc w:val="both"/>
        <w:rPr>
          <w:sz w:val="18"/>
          <w:szCs w:val="18"/>
        </w:rPr>
      </w:pPr>
      <w:r w:rsidRPr="004F65DB">
        <w:rPr>
          <w:rFonts w:asciiTheme="minorHAnsi" w:hAnsiTheme="minorHAnsi"/>
          <w:sz w:val="18"/>
          <w:szCs w:val="18"/>
        </w:rPr>
        <w:t>Art. 314 — Peculato; Art. 315 — [ABROGATO]; Art. 316 — Peculato mediante profitto dell'errore altrui; Art. 316 bis — Malversazione a danno dello Stato; Art. 316 ter — Indebita percezione di erogazioni a danno dello Stato; Art. 317 — Concussione; Art. 317 bis — Pene accessorie; Art. 318 — Corruzione per l'esercizio della funzione; Art. 319 — Corruzione per un atto contrario ai doveri d'ufficio; Art. 319 bis — Circostanze aggravanti; Art. 319 ter — Corruzione in atti giudiziari; Art. 319 quater — Induzione indebita a dare o promettere utilità; Art. 320 — Corruzione di persona incaricata di un pubblico servizio; Art. 321 — Pene per il corruttore; Art. 322 — Istigazione alla corruzione; Art. 322 bis — Peculato, concussione, induzione indebita a dare o promettere utilità, corruzione e istigazione alla corruzione di membri della Corte penale internazionale e degli organi delle Comunità europee e di funzionari delle Comunità europee e di Stati esteri; Art. 322 ter — Confisca; Art. 322 quater — Riparazione pecuniaria; Art. 323 — Abuso d'ufficio; Art. 323 bis — Circostanze attenuanti; Art. 324 — Interesse privato in atti di ufficio [ABROGATO]; Art. 325 — Utilizzazione d'invenzioni o scoperte conosciute per ragione di ufficio; Art. 326 — Rivelazione ed utilizzazione di segreti di ufficio; Art. 327 — [ABROGATO]; Art. 328 — Rifiuto di atti d'ufficio. Omissione; Art. 329 — Rifiuto o ritardo di obbedienza commesso da un militare o da un agente della forza pubblica; Art. 330 — [Abbandono collettivo di pubblici uffici, impieghi, servizi o lavori]; Art. 331 — Interruzione d'un servizio pubblico o di pubblica necessità; Art. 332 — Omissione di doveri di ufficio in occasione di abbandono di un pubblico ufficio o di interruzione di un pubblico servizio [ABROGATO]; Art. 333 —[ABROGATO]; Art. 334 — Sottrazione o danneggiamento di cose sottoposte a sequestro disposto nel corso di un procedimento penale o dall'autorità amministrativa; Art. 335 — Violazione colposa di doveri inerenti alla custodia di cose sottoposte a sequestro disposto nel corso di un procedimento penale o dall'autorità amministrativa; Art. 335 bis — Disposizioni patrimoniali.</w:t>
      </w:r>
    </w:p>
  </w:endnote>
  <w:endnote w:id="2">
    <w:p w:rsidR="003E7C27" w:rsidRPr="003E7C27" w:rsidRDefault="003E7C27" w:rsidP="00AE45E0">
      <w:pPr>
        <w:pStyle w:val="Testonotadichiusura"/>
        <w:rPr>
          <w:i/>
          <w:sz w:val="18"/>
          <w:szCs w:val="18"/>
        </w:rPr>
      </w:pPr>
    </w:p>
    <w:p w:rsidR="003E7C27" w:rsidRPr="003E7C27" w:rsidRDefault="003E7C27" w:rsidP="003E7C27">
      <w:pPr>
        <w:pStyle w:val="Testonotadichiusura"/>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375" w:rsidRDefault="00042375" w:rsidP="00042375">
      <w:pPr>
        <w:spacing w:after="0" w:line="240" w:lineRule="auto"/>
      </w:pPr>
      <w:r>
        <w:separator/>
      </w:r>
    </w:p>
  </w:footnote>
  <w:footnote w:type="continuationSeparator" w:id="0">
    <w:p w:rsidR="00042375" w:rsidRDefault="00042375" w:rsidP="00042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375" w:rsidRDefault="00A132DF">
    <w:pPr>
      <w:pStyle w:val="Intestazione"/>
      <w:rPr>
        <w:noProof/>
        <w:lang w:eastAsia="it-IT"/>
      </w:rPr>
    </w:pPr>
    <w:r>
      <w:rPr>
        <w:noProof/>
      </w:rPr>
      <w:drawing>
        <wp:inline distT="0" distB="0" distL="0" distR="0" wp14:anchorId="27BC3262" wp14:editId="7916CAC4">
          <wp:extent cx="1076325" cy="1439545"/>
          <wp:effectExtent l="0" t="0" r="9525" b="8255"/>
          <wp:docPr id="40395352" name="Picture 1" descr="A red circle with a person sitting on a chair&#10;&#10;AI-generated content may be incorrect."/>
          <wp:cNvGraphicFramePr/>
          <a:graphic xmlns:a="http://schemas.openxmlformats.org/drawingml/2006/main">
            <a:graphicData uri="http://schemas.openxmlformats.org/drawingml/2006/picture">
              <pic:pic xmlns:pic="http://schemas.openxmlformats.org/drawingml/2006/picture">
                <pic:nvPicPr>
                  <pic:cNvPr id="40395352" name="Picture 1" descr="A red circle with a person sitting on a chai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6325" cy="1439545"/>
                  </a:xfrm>
                  <a:prstGeom prst="rect">
                    <a:avLst/>
                  </a:prstGeom>
                </pic:spPr>
              </pic:pic>
            </a:graphicData>
          </a:graphic>
        </wp:inline>
      </w:drawing>
    </w:r>
  </w:p>
  <w:p w:rsidR="00865DAE" w:rsidRDefault="00865DAE">
    <w:pPr>
      <w:pStyle w:val="Intestazione"/>
      <w:rPr>
        <w:noProof/>
        <w:lang w:eastAsia="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53"/>
    <w:rsid w:val="00042375"/>
    <w:rsid w:val="000563E9"/>
    <w:rsid w:val="001359CC"/>
    <w:rsid w:val="00160E7C"/>
    <w:rsid w:val="00171EA8"/>
    <w:rsid w:val="00190B21"/>
    <w:rsid w:val="00192784"/>
    <w:rsid w:val="00197E08"/>
    <w:rsid w:val="001C4960"/>
    <w:rsid w:val="00201817"/>
    <w:rsid w:val="002726CE"/>
    <w:rsid w:val="0028073A"/>
    <w:rsid w:val="002E48E0"/>
    <w:rsid w:val="00366DC4"/>
    <w:rsid w:val="003C3DA8"/>
    <w:rsid w:val="003D08DC"/>
    <w:rsid w:val="003E7C27"/>
    <w:rsid w:val="003F4B40"/>
    <w:rsid w:val="003F70DF"/>
    <w:rsid w:val="00413E0C"/>
    <w:rsid w:val="00444111"/>
    <w:rsid w:val="00466928"/>
    <w:rsid w:val="00494216"/>
    <w:rsid w:val="004E5A28"/>
    <w:rsid w:val="004F65DB"/>
    <w:rsid w:val="005A3B8E"/>
    <w:rsid w:val="005A4AA7"/>
    <w:rsid w:val="00602098"/>
    <w:rsid w:val="00665DE3"/>
    <w:rsid w:val="006945C5"/>
    <w:rsid w:val="00744055"/>
    <w:rsid w:val="0076702A"/>
    <w:rsid w:val="00865DAE"/>
    <w:rsid w:val="00877B69"/>
    <w:rsid w:val="008808A8"/>
    <w:rsid w:val="008A1182"/>
    <w:rsid w:val="008A6BFC"/>
    <w:rsid w:val="00900F75"/>
    <w:rsid w:val="009B5E31"/>
    <w:rsid w:val="009D497E"/>
    <w:rsid w:val="009E7667"/>
    <w:rsid w:val="00A132DF"/>
    <w:rsid w:val="00A61BB8"/>
    <w:rsid w:val="00AE45E0"/>
    <w:rsid w:val="00B51F7B"/>
    <w:rsid w:val="00BC090F"/>
    <w:rsid w:val="00C41552"/>
    <w:rsid w:val="00C97353"/>
    <w:rsid w:val="00D02623"/>
    <w:rsid w:val="00D0463C"/>
    <w:rsid w:val="00D23417"/>
    <w:rsid w:val="00E32667"/>
    <w:rsid w:val="00F708D6"/>
    <w:rsid w:val="00F901D8"/>
    <w:rsid w:val="00FB2B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BB98828"/>
  <w15:docId w15:val="{B8CB52D8-4242-4A38-9D64-46625725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9B5E31"/>
    <w:pPr>
      <w:spacing w:before="100" w:beforeAutospacing="1" w:after="24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423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2375"/>
  </w:style>
  <w:style w:type="paragraph" w:styleId="Pidipagina">
    <w:name w:val="footer"/>
    <w:basedOn w:val="Normale"/>
    <w:link w:val="PidipaginaCarattere"/>
    <w:uiPriority w:val="99"/>
    <w:unhideWhenUsed/>
    <w:rsid w:val="000423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2375"/>
  </w:style>
  <w:style w:type="paragraph" w:styleId="Testonotaapidipagina">
    <w:name w:val="footnote text"/>
    <w:basedOn w:val="Normale"/>
    <w:link w:val="TestonotaapidipaginaCarattere"/>
    <w:uiPriority w:val="99"/>
    <w:semiHidden/>
    <w:unhideWhenUsed/>
    <w:rsid w:val="0004237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42375"/>
    <w:rPr>
      <w:sz w:val="20"/>
      <w:szCs w:val="20"/>
    </w:rPr>
  </w:style>
  <w:style w:type="character" w:styleId="Rimandonotaapidipagina">
    <w:name w:val="footnote reference"/>
    <w:basedOn w:val="Carpredefinitoparagrafo"/>
    <w:uiPriority w:val="99"/>
    <w:semiHidden/>
    <w:unhideWhenUsed/>
    <w:rsid w:val="00042375"/>
    <w:rPr>
      <w:vertAlign w:val="superscript"/>
    </w:rPr>
  </w:style>
  <w:style w:type="paragraph" w:styleId="Testonotadichiusura">
    <w:name w:val="endnote text"/>
    <w:basedOn w:val="Normale"/>
    <w:link w:val="TestonotadichiusuraCarattere"/>
    <w:rsid w:val="00042375"/>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042375"/>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3E7C27"/>
    <w:rPr>
      <w:vertAlign w:val="superscript"/>
    </w:rPr>
  </w:style>
  <w:style w:type="character" w:styleId="Collegamentoipertestuale">
    <w:name w:val="Hyperlink"/>
    <w:basedOn w:val="Carpredefinitoparagrafo"/>
    <w:uiPriority w:val="99"/>
    <w:unhideWhenUsed/>
    <w:rsid w:val="003E7C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00871">
      <w:bodyDiv w:val="1"/>
      <w:marLeft w:val="0"/>
      <w:marRight w:val="0"/>
      <w:marTop w:val="0"/>
      <w:marBottom w:val="0"/>
      <w:divBdr>
        <w:top w:val="none" w:sz="0" w:space="0" w:color="auto"/>
        <w:left w:val="none" w:sz="0" w:space="0" w:color="auto"/>
        <w:bottom w:val="none" w:sz="0" w:space="0" w:color="auto"/>
        <w:right w:val="none" w:sz="0" w:space="0" w:color="auto"/>
      </w:divBdr>
    </w:div>
    <w:div w:id="787165643">
      <w:bodyDiv w:val="1"/>
      <w:marLeft w:val="0"/>
      <w:marRight w:val="0"/>
      <w:marTop w:val="0"/>
      <w:marBottom w:val="0"/>
      <w:divBdr>
        <w:top w:val="none" w:sz="0" w:space="0" w:color="auto"/>
        <w:left w:val="none" w:sz="0" w:space="0" w:color="auto"/>
        <w:bottom w:val="none" w:sz="0" w:space="0" w:color="auto"/>
        <w:right w:val="none" w:sz="0" w:space="0" w:color="auto"/>
      </w:divBdr>
    </w:div>
    <w:div w:id="11493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si.it/ateneo/adempimenti/priva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AF596-B75D-4CD2-AAFE-6DE0BF71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396</Words>
  <Characters>2259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Lastri Livia</dc:creator>
  <cp:lastModifiedBy>Verduci Alessandra</cp:lastModifiedBy>
  <cp:revision>29</cp:revision>
  <dcterms:created xsi:type="dcterms:W3CDTF">2020-06-30T14:59:00Z</dcterms:created>
  <dcterms:modified xsi:type="dcterms:W3CDTF">2025-06-18T07:38:00Z</dcterms:modified>
</cp:coreProperties>
</file>